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after="60" w:line="312" w:lineRule="auto"/>
        <w:jc w:val="center"/>
        <w:outlineLvl w:val="1"/>
        <w:rPr>
          <w:rFonts w:ascii="等线 Light" w:hAnsi="等线 Light"/>
          <w:b/>
          <w:bCs/>
          <w:color w:val="FF0000"/>
          <w:kern w:val="28"/>
          <w:sz w:val="44"/>
          <w:szCs w:val="44"/>
        </w:rPr>
      </w:pPr>
      <w:r>
        <w:rPr>
          <w:rFonts w:ascii="等线 Light" w:hAnsi="等线 Light"/>
          <w:b/>
          <w:bCs/>
          <w:color w:val="FF0000"/>
          <w:kern w:val="28"/>
          <w:sz w:val="44"/>
          <w:szCs w:val="44"/>
        </w:rPr>
        <w:t>北京市</w:t>
      </w:r>
      <w:r>
        <w:rPr>
          <w:rFonts w:hint="eastAsia" w:ascii="等线 Light" w:hAnsi="等线 Light"/>
          <w:b/>
          <w:bCs/>
          <w:color w:val="FF0000"/>
          <w:kern w:val="28"/>
          <w:sz w:val="44"/>
          <w:szCs w:val="44"/>
        </w:rPr>
        <w:t>中</w:t>
      </w:r>
      <w:bookmarkStart w:id="0" w:name="_GoBack"/>
      <w:bookmarkEnd w:id="0"/>
      <w:r>
        <w:rPr>
          <w:rFonts w:hint="eastAsia" w:ascii="等线 Light" w:hAnsi="等线 Light"/>
          <w:b/>
          <w:bCs/>
          <w:color w:val="FF0000"/>
          <w:kern w:val="28"/>
          <w:sz w:val="44"/>
          <w:szCs w:val="44"/>
        </w:rPr>
        <w:t>医管理局</w:t>
      </w:r>
    </w:p>
    <w:p>
      <w:pPr>
        <w:spacing w:line="0" w:lineRule="atLeast"/>
        <w:jc w:val="center"/>
        <w:rPr>
          <w:rFonts w:ascii="宋体" w:hAnsi="宋体" w:cs="Calibri"/>
          <w:b/>
          <w:color w:val="FF0000"/>
          <w:sz w:val="43"/>
          <w:szCs w:val="43"/>
        </w:rPr>
      </w:pPr>
      <w:r>
        <w:rPr>
          <w:rFonts w:hint="eastAsia" w:ascii="宋体" w:hAnsi="宋体" w:cs="Calibri"/>
          <w:b/>
          <w:color w:val="FF0000"/>
          <w:sz w:val="43"/>
          <w:szCs w:val="43"/>
        </w:rPr>
        <w:t>北京中医药治未病落地工程</w:t>
      </w:r>
    </w:p>
    <w:p>
      <w:pPr>
        <w:spacing w:line="200" w:lineRule="exact"/>
        <w:rPr>
          <w:rFonts w:eastAsia="Times New Roman"/>
          <w:sz w:val="24"/>
        </w:rPr>
      </w:pPr>
    </w:p>
    <w:p>
      <w:pPr>
        <w:spacing w:line="303" w:lineRule="exact"/>
        <w:rPr>
          <w:rFonts w:eastAsia="Times New Roman"/>
          <w:sz w:val="24"/>
        </w:rPr>
      </w:pPr>
    </w:p>
    <w:p>
      <w:pPr>
        <w:spacing w:line="0" w:lineRule="atLeast"/>
        <w:jc w:val="center"/>
        <w:rPr>
          <w:rFonts w:ascii="宋体" w:hAnsi="宋体"/>
          <w:color w:val="FF0000"/>
          <w:sz w:val="144"/>
        </w:rPr>
      </w:pPr>
      <w:r>
        <w:rPr>
          <w:rFonts w:ascii="宋体" w:hAnsi="宋体"/>
          <w:color w:val="FF0000"/>
          <w:sz w:val="144"/>
        </w:rPr>
        <w:t>简 报</w:t>
      </w:r>
    </w:p>
    <w:p>
      <w:pPr>
        <w:spacing w:line="229" w:lineRule="exact"/>
        <w:rPr>
          <w:sz w:val="24"/>
        </w:rPr>
      </w:pPr>
    </w:p>
    <w:p>
      <w:pPr>
        <w:spacing w:line="0" w:lineRule="atLeast"/>
        <w:jc w:val="center"/>
        <w:rPr>
          <w:rFonts w:ascii="宋体" w:hAnsi="宋体"/>
          <w:sz w:val="32"/>
        </w:rPr>
      </w:pPr>
      <w:r>
        <w:rPr>
          <w:rFonts w:ascii="宋体" w:hAnsi="宋体"/>
          <w:sz w:val="32"/>
        </w:rPr>
        <w:t>第</w:t>
      </w:r>
      <w:r>
        <w:rPr>
          <w:rFonts w:ascii="宋体" w:hAnsi="宋体"/>
          <w:color w:val="FF0000"/>
          <w:sz w:val="32"/>
        </w:rPr>
        <w:t xml:space="preserve"> </w:t>
      </w:r>
      <w:r>
        <w:rPr>
          <w:rFonts w:hint="eastAsia" w:ascii="宋体" w:hAnsi="宋体"/>
          <w:color w:val="FF0000"/>
          <w:sz w:val="32"/>
        </w:rPr>
        <w:t>8</w:t>
      </w:r>
      <w:r>
        <w:rPr>
          <w:rFonts w:ascii="宋体" w:hAnsi="宋体"/>
          <w:sz w:val="32"/>
        </w:rPr>
        <w:t>期</w:t>
      </w:r>
    </w:p>
    <w:p>
      <w:pPr>
        <w:spacing w:line="346" w:lineRule="exact"/>
        <w:rPr>
          <w:sz w:val="24"/>
        </w:rPr>
      </w:pPr>
    </w:p>
    <w:p>
      <w:pPr>
        <w:tabs>
          <w:tab w:val="left" w:pos="7020"/>
        </w:tabs>
        <w:spacing w:line="0" w:lineRule="atLeast"/>
        <w:rPr>
          <w:rFonts w:ascii="宋体" w:hAnsi="宋体" w:cs="Calibri"/>
          <w:sz w:val="29"/>
          <w:szCs w:val="29"/>
        </w:rPr>
      </w:pPr>
      <w:r>
        <w:rPr>
          <w:rFonts w:cs="Calibri" w:asciiTheme="majorEastAsia" w:hAnsiTheme="majorEastAsia" w:eastAsiaTheme="majorEastAsia"/>
          <w:b/>
          <w:sz w:val="29"/>
          <w:szCs w:val="29"/>
        </w:rPr>
        <w:t>北京市</w:t>
      </w:r>
      <w:r>
        <w:rPr>
          <w:rFonts w:hint="eastAsia" w:cs="Calibri" w:asciiTheme="majorEastAsia" w:hAnsiTheme="majorEastAsia" w:eastAsiaTheme="majorEastAsia"/>
          <w:b/>
          <w:sz w:val="29"/>
          <w:szCs w:val="29"/>
        </w:rPr>
        <w:t>中医管理局北京中医药治未病落地工程领导</w:t>
      </w:r>
      <w:r>
        <w:rPr>
          <w:rFonts w:cs="Calibri" w:asciiTheme="majorEastAsia" w:hAnsiTheme="majorEastAsia" w:eastAsiaTheme="majorEastAsia"/>
          <w:b/>
          <w:sz w:val="29"/>
          <w:szCs w:val="29"/>
        </w:rPr>
        <w:t>小组</w:t>
      </w:r>
      <w:r>
        <w:rPr>
          <w:rFonts w:hint="eastAsia" w:cs="Calibri" w:asciiTheme="majorEastAsia" w:hAnsiTheme="majorEastAsia" w:eastAsiaTheme="majorEastAsia"/>
          <w:b/>
          <w:sz w:val="29"/>
          <w:szCs w:val="29"/>
        </w:rPr>
        <w:t xml:space="preserve">办公室（北京中医药治未病落地工程指挥部）    </w:t>
      </w:r>
      <w:r>
        <w:rPr>
          <w:rFonts w:hint="eastAsia" w:ascii="宋体" w:hAnsi="宋体" w:cs="Calibri"/>
          <w:sz w:val="29"/>
          <w:szCs w:val="29"/>
        </w:rPr>
        <w:t xml:space="preserve">       </w:t>
      </w:r>
      <w:r>
        <w:rPr>
          <w:rFonts w:ascii="宋体" w:hAnsi="宋体"/>
          <w:kern w:val="0"/>
          <w:sz w:val="29"/>
          <w:szCs w:val="29"/>
        </w:rPr>
        <w:t>201</w:t>
      </w:r>
      <w:r>
        <w:rPr>
          <w:rFonts w:hint="eastAsia" w:ascii="宋体" w:hAnsi="宋体"/>
          <w:kern w:val="0"/>
          <w:sz w:val="29"/>
          <w:szCs w:val="29"/>
        </w:rPr>
        <w:t>7</w:t>
      </w:r>
      <w:r>
        <w:rPr>
          <w:rFonts w:ascii="宋体" w:hAnsi="宋体"/>
          <w:kern w:val="0"/>
          <w:sz w:val="29"/>
          <w:szCs w:val="29"/>
        </w:rPr>
        <w:t>年</w:t>
      </w:r>
      <w:r>
        <w:rPr>
          <w:rFonts w:hint="eastAsia" w:ascii="宋体" w:hAnsi="宋体"/>
          <w:kern w:val="0"/>
          <w:sz w:val="29"/>
          <w:szCs w:val="29"/>
        </w:rPr>
        <w:t>08</w:t>
      </w:r>
      <w:r>
        <w:rPr>
          <w:rFonts w:ascii="宋体" w:hAnsi="宋体"/>
          <w:kern w:val="0"/>
          <w:sz w:val="29"/>
          <w:szCs w:val="29"/>
        </w:rPr>
        <w:t>月</w:t>
      </w:r>
      <w:r>
        <w:rPr>
          <w:rFonts w:hint="eastAsia" w:ascii="宋体" w:hAnsi="宋体"/>
          <w:kern w:val="0"/>
          <w:sz w:val="29"/>
          <w:szCs w:val="29"/>
        </w:rPr>
        <w:t xml:space="preserve">27日  </w:t>
      </w:r>
    </w:p>
    <w:p>
      <w:pPr>
        <w:rPr>
          <w:rFonts w:ascii="方正小标宋简体" w:hAnsi="宋体" w:eastAsia="方正小标宋简体"/>
          <w:sz w:val="44"/>
          <w:szCs w:val="44"/>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157480</wp:posOffset>
                </wp:positionV>
                <wp:extent cx="5372100" cy="0"/>
                <wp:effectExtent l="101600" t="106680" r="114300" b="134620"/>
                <wp:wrapNone/>
                <wp:docPr id="1" name="直线连接符 6"/>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38100">
                          <a:solidFill>
                            <a:srgbClr val="FF0000"/>
                          </a:solidFill>
                          <a:round/>
                        </a:ln>
                        <a:effectLst>
                          <a:outerShdw blurRad="63500" dist="23000" dir="5400000" rotWithShape="0">
                            <a:srgbClr val="000000">
                              <a:alpha val="34999"/>
                            </a:srgbClr>
                          </a:outerShdw>
                        </a:effectLst>
                      </wps:spPr>
                      <wps:bodyPr/>
                    </wps:wsp>
                  </a:graphicData>
                </a:graphic>
              </wp:anchor>
            </w:drawing>
          </mc:Choice>
          <mc:Fallback>
            <w:pict>
              <v:line id="直线连接符 6" o:spid="_x0000_s1026" o:spt="20" style="position:absolute;left:0pt;margin-left:0pt;margin-top:12.4pt;height:0pt;width:423pt;z-index:251660288;mso-width-relative:page;mso-height-relative:page;" filled="f" stroked="t" coordsize="21600,21600" o:gfxdata="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n4wfXSAAAABgEAAA8AAAAAAAAAAQAgAAAAIgAAAGRycy9kb3ducmV2LnhtbFBL&#10;AQIUABQAAAAIAIdO4kCAb+oLNQIAAFcEAAAOAAAAAAAAAAEAIAAAACEBAABkcnMvZTJvRG9jLnht&#10;bFBLBQYAAAAABgAGAFkBAADIBQAAAAA=&#10;">
                <v:fill on="f" focussize="0,0"/>
                <v:stroke weight="3pt" color="#FF0000" joinstyle="round"/>
                <v:imagedata o:title=""/>
                <o:lock v:ext="edit" aspectratio="f"/>
                <v:shadow on="t" color="#000000" opacity="22936f" offset="0pt,1.81102362204724pt" origin="0f,32768f" matrix="65536f,0f,0f,65536f"/>
              </v:line>
            </w:pict>
          </mc:Fallback>
        </mc:AlternateContent>
      </w:r>
    </w:p>
    <w:p>
      <w:pPr>
        <w:jc w:val="center"/>
        <w:rPr>
          <w:rFonts w:ascii="方正小标宋简体" w:eastAsia="方正小标宋简体"/>
          <w:sz w:val="44"/>
          <w:szCs w:val="44"/>
        </w:rPr>
      </w:pPr>
      <w:r>
        <w:rPr>
          <w:rFonts w:hint="eastAsia" w:ascii="方正小标宋简体" w:eastAsia="方正小标宋简体"/>
          <w:sz w:val="44"/>
          <w:szCs w:val="44"/>
        </w:rPr>
        <w:t xml:space="preserve">中医中药中国行，使节扫码治未病 </w:t>
      </w:r>
    </w:p>
    <w:p>
      <w:pPr>
        <w:jc w:val="center"/>
        <w:rPr>
          <w:rFonts w:ascii="方正小标宋简体" w:eastAsia="方正小标宋简体"/>
          <w:sz w:val="32"/>
          <w:szCs w:val="32"/>
        </w:rPr>
      </w:pPr>
      <w:r>
        <w:rPr>
          <w:rFonts w:hint="eastAsia" w:ascii="方正小标宋简体" w:eastAsia="方正小标宋简体"/>
          <w:sz w:val="32"/>
          <w:szCs w:val="32"/>
        </w:rPr>
        <w:t xml:space="preserve">驻华使节中医药健康日暨中医药治未病健康促进（落地）工程启动仪式在朝阳区举办  </w:t>
      </w:r>
    </w:p>
    <w:p>
      <w:pPr>
        <w:jc w:val="center"/>
        <w:rPr>
          <w:rFonts w:ascii="方正小标宋简体" w:eastAsia="方正小标宋简体"/>
          <w:sz w:val="32"/>
          <w:szCs w:val="32"/>
        </w:rPr>
      </w:pPr>
      <w:r>
        <w:rPr>
          <w:rFonts w:ascii="Helvetica" w:hAnsi="Helvetica" w:cs="Helvetica"/>
          <w:kern w:val="0"/>
          <w:sz w:val="24"/>
          <w:szCs w:val="24"/>
        </w:rPr>
        <w:drawing>
          <wp:inline distT="0" distB="0" distL="0" distR="0">
            <wp:extent cx="3457575" cy="23031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470346" cy="2311667"/>
                    </a:xfrm>
                    <a:prstGeom prst="rect">
                      <a:avLst/>
                    </a:prstGeom>
                    <a:noFill/>
                    <a:ln>
                      <a:noFill/>
                    </a:ln>
                  </pic:spPr>
                </pic:pic>
              </a:graphicData>
            </a:graphic>
          </wp:inline>
        </w:drawing>
      </w:r>
    </w:p>
    <w:p>
      <w:pPr>
        <w:widowControl/>
        <w:spacing w:line="540" w:lineRule="exact"/>
        <w:jc w:val="left"/>
        <w:rPr>
          <w:rFonts w:hint="eastAsia" w:ascii="仿宋_GB2312" w:eastAsia="仿宋_GB2312"/>
          <w:sz w:val="32"/>
          <w:szCs w:val="32"/>
        </w:rPr>
      </w:pPr>
      <w:r>
        <w:rPr>
          <w:rFonts w:hint="eastAsia" w:ascii="仿宋_GB2312" w:eastAsia="仿宋_GB2312"/>
          <w:sz w:val="32"/>
          <w:szCs w:val="32"/>
        </w:rPr>
        <w:t xml:space="preserve">    2017年8月27日下午，由北京市中医管理局、朝阳区人民政府和北京外交人员服务局联合主办的“2017年朝阳区驻华使节中医药健康日暨中医药治未病健康促进（落地）工程启动仪式”在塔园外交公寓西门旁的北京国医汇中医诊所举行。国家中医药管理局副局长于文明、北京市中医管理局局长屠志涛、朝阳区委常委、副区长孙其军、北京外交人员服务局常务副局长蒋琪、朝阳区卫生计生委党委书记兼主任师伟、党委副书记陈开红、朝阳区人民政府外事办公室副主任黄文娟、朝阳区商务委副主任关德鹏、朝阳区旅游委副主任张爱军出席启动仪式，来自萨摩亚、斐济、波黑、密克罗尼西亚、乍得和汤加大使驻华大使、20多家使团近60名外交官及其家人，50余名朝阳区直属医院和社区卫生服务中心及首批朝阳区中医药服务贸易建设单位代表出席活动。</w:t>
      </w:r>
    </w:p>
    <w:p>
      <w:pPr>
        <w:widowControl/>
        <w:spacing w:line="540" w:lineRule="exact"/>
        <w:ind w:firstLine="640" w:firstLineChars="200"/>
        <w:jc w:val="left"/>
        <w:rPr>
          <w:rFonts w:hint="eastAsia" w:ascii="仿宋_GB2312" w:eastAsia="仿宋_GB2312"/>
          <w:sz w:val="32"/>
          <w:szCs w:val="32"/>
        </w:rPr>
      </w:pPr>
      <w:r>
        <w:rPr>
          <w:rFonts w:hint="eastAsia" w:ascii="仿宋_GB2312" w:eastAsia="仿宋_GB2312"/>
          <w:sz w:val="32"/>
          <w:szCs w:val="32"/>
        </w:rPr>
        <w:t>北京国医汇医院管理有限公司董事长张海兰致欢迎辞，张海兰董事长代表国医汇集团感谢各级领导及嘉宾的支持，表示国医汇在以后的工作中一定不辜负国家中医药管理局、北京市中医管理局、朝阳区政府和北京外交人员服务局的厚望，并愿与业界同仁合作，共同打造朝阳区中医药服务贸易品牌机构。北京外交人员服务局常务副局长蒋琪在讲话中肯定了国医汇中医诊所为驻华使节健康保健做出的贡献，表示将与朝阳区政府、区卫生计生委携手共同打造朝阳区中医药服务贸易示范机构，定期举办驻华使节中医药健康日活动，让驻华外交人员享受到高质量中医药健康服务，不负北京市和国家中医药管理局厚望。朝阳区委常委、区政府副区长孙其军要求全区推动中医药服务贸易工作再上新台阶，要开展形式多样的“中医中医药中国行”活动，各社区卫生服务中心都要组建中医治未病团队，认真落实“首都中医药治未病健康促进（落地）工程”各项要求，打造健康朝阳。北京市中医管理局屠志涛局长表示朝阳区充分利用区域特色，推动中医药治未病健康促进（落地）工程走进使馆区，为在北京工作生活的驻华使节和家人提供中医药健康管理服务，传播治未病中医药文化理念，举办的驻华使节中医药健康日活动已经成为朝阳区一张亮丽名片，此次活动也标志着北京市的新一轮中医中药中国行活动正式拉开帷幕，北京市将全力支持朝阳区中医药工作，调动全市中医专家资源，为驻华使节提供高品质的个性化服务。国家中医药管理局于文明副局长介绍了中医药在世界各地发展的良好态势，对北京市和朝阳区积极开展中医药服务贸易、认真落实中医治未病及“中医中药中国行”活动，并将其与驻华使节中医药体验、推广工作有效结合的工作模式给予肯定，希望中医药能为世界人民健康做出更大贡献。</w:t>
      </w:r>
    </w:p>
    <w:p>
      <w:pPr>
        <w:widowControl/>
        <w:spacing w:line="500" w:lineRule="exact"/>
        <w:ind w:firstLine="640" w:firstLineChars="200"/>
        <w:jc w:val="left"/>
        <w:rPr>
          <w:rFonts w:ascii="仿宋_GB2312" w:eastAsia="仿宋_GB2312"/>
          <w:sz w:val="32"/>
          <w:szCs w:val="32"/>
        </w:rPr>
      </w:pPr>
    </w:p>
    <w:p>
      <w:pPr>
        <w:widowControl/>
        <w:ind w:firstLine="720"/>
        <w:jc w:val="left"/>
        <w:rPr>
          <w:rFonts w:ascii="仿宋_GB2312" w:eastAsia="仿宋_GB2312"/>
          <w:sz w:val="32"/>
          <w:szCs w:val="32"/>
        </w:rPr>
      </w:pPr>
      <w:r>
        <w:rPr>
          <w:rFonts w:hint="eastAsia" w:ascii="仿宋_GB2312" w:eastAsia="仿宋_GB2312"/>
          <w:sz w:val="32"/>
          <w:szCs w:val="32"/>
        </w:rPr>
        <w:drawing>
          <wp:inline distT="0" distB="0" distL="0" distR="0">
            <wp:extent cx="2330450" cy="1544955"/>
            <wp:effectExtent l="0" t="0" r="6350" b="4445"/>
            <wp:docPr id="6" name="图片 6" descr="../屏幕快照%202017-08-30%2010.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快照%202017-08-30%2010.01.5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362355" cy="1566544"/>
                    </a:xfrm>
                    <a:prstGeom prst="rect">
                      <a:avLst/>
                    </a:prstGeom>
                    <a:noFill/>
                    <a:ln>
                      <a:noFill/>
                    </a:ln>
                  </pic:spPr>
                </pic:pic>
              </a:graphicData>
            </a:graphic>
          </wp:inline>
        </w:drawing>
      </w:r>
      <w:r>
        <w:rPr>
          <w:rFonts w:hint="eastAsia" w:ascii="仿宋_GB2312" w:eastAsia="仿宋_GB2312"/>
          <w:sz w:val="32"/>
          <w:szCs w:val="32"/>
        </w:rPr>
        <w:t xml:space="preserve"> </w:t>
      </w:r>
      <w:r>
        <w:rPr>
          <w:rFonts w:hint="eastAsia" w:ascii="仿宋_GB2312" w:eastAsia="仿宋_GB2312"/>
          <w:sz w:val="32"/>
          <w:szCs w:val="32"/>
        </w:rPr>
        <w:drawing>
          <wp:inline distT="0" distB="0" distL="0" distR="0">
            <wp:extent cx="2101215" cy="1544320"/>
            <wp:effectExtent l="0" t="0" r="6985" b="5080"/>
            <wp:docPr id="10" name="图片 10" descr="../屏幕快照%202017-08-30%2010.0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快照%202017-08-30%2010.01.5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101587" cy="1544400"/>
                    </a:xfrm>
                    <a:prstGeom prst="rect">
                      <a:avLst/>
                    </a:prstGeom>
                    <a:noFill/>
                    <a:ln>
                      <a:noFill/>
                    </a:ln>
                  </pic:spPr>
                </pic:pic>
              </a:graphicData>
            </a:graphic>
          </wp:inline>
        </w:drawing>
      </w:r>
    </w:p>
    <w:p>
      <w:pPr>
        <w:widowControl/>
        <w:ind w:firstLine="720"/>
        <w:jc w:val="left"/>
        <w:rPr>
          <w:rFonts w:ascii="仿宋_GB2312" w:eastAsia="仿宋_GB2312"/>
          <w:sz w:val="32"/>
          <w:szCs w:val="32"/>
        </w:rPr>
      </w:pPr>
      <w:r>
        <w:rPr>
          <w:rFonts w:hint="eastAsia" w:ascii="仿宋_GB2312" w:eastAsia="仿宋_GB2312"/>
          <w:sz w:val="32"/>
          <w:szCs w:val="32"/>
        </w:rPr>
        <w:drawing>
          <wp:inline distT="0" distB="0" distL="0" distR="0">
            <wp:extent cx="2319655" cy="1544320"/>
            <wp:effectExtent l="0" t="0" r="0" b="5080"/>
            <wp:docPr id="11" name="图片 11" descr="../屏幕快照%202017-08-30%2010.0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202017-08-30%2010.02.0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19677" cy="1544400"/>
                    </a:xfrm>
                    <a:prstGeom prst="rect">
                      <a:avLst/>
                    </a:prstGeom>
                    <a:noFill/>
                    <a:ln>
                      <a:noFill/>
                    </a:ln>
                  </pic:spPr>
                </pic:pic>
              </a:graphicData>
            </a:graphic>
          </wp:inline>
        </w:drawing>
      </w:r>
      <w:r>
        <w:rPr>
          <w:rFonts w:hint="eastAsia" w:ascii="仿宋_GB2312" w:eastAsia="仿宋_GB2312"/>
          <w:sz w:val="32"/>
          <w:szCs w:val="32"/>
        </w:rPr>
        <w:t xml:space="preserve"> </w:t>
      </w:r>
      <w:r>
        <w:rPr>
          <w:rFonts w:hint="eastAsia" w:ascii="仿宋_GB2312" w:eastAsia="仿宋_GB2312"/>
          <w:sz w:val="32"/>
          <w:szCs w:val="32"/>
        </w:rPr>
        <w:drawing>
          <wp:inline distT="0" distB="0" distL="0" distR="0">
            <wp:extent cx="2325370" cy="1544320"/>
            <wp:effectExtent l="0" t="0" r="11430" b="5080"/>
            <wp:docPr id="12" name="图片 12" descr="../屏幕快照%202017-08-30%2010.0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快照%202017-08-30%2010.02.2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25833" cy="1544400"/>
                    </a:xfrm>
                    <a:prstGeom prst="rect">
                      <a:avLst/>
                    </a:prstGeom>
                    <a:noFill/>
                    <a:ln>
                      <a:noFill/>
                    </a:ln>
                  </pic:spPr>
                </pic:pic>
              </a:graphicData>
            </a:graphic>
          </wp:inline>
        </w:drawing>
      </w:r>
    </w:p>
    <w:p>
      <w:pPr>
        <w:widowControl/>
        <w:ind w:firstLine="640" w:firstLineChars="200"/>
        <w:jc w:val="left"/>
        <w:rPr>
          <w:rFonts w:ascii="仿宋_GB2312" w:eastAsia="仿宋_GB2312"/>
          <w:sz w:val="32"/>
          <w:szCs w:val="32"/>
        </w:rPr>
      </w:pPr>
      <w:r>
        <w:rPr>
          <w:rFonts w:hint="eastAsia" w:ascii="仿宋_GB2312" w:eastAsia="仿宋_GB2312"/>
          <w:sz w:val="32"/>
          <w:szCs w:val="32"/>
        </w:rPr>
        <w:t>斐济驻华大使约阿尼· 奈法卢拉先生（Mr Ioane Naivalurua）深情地向与会人员讲述了自己接受中医药保健服务的体会，希望通过朝阳区中医药服务贸易这个平台，使更多国家人民也能享受到中医药健康管理和服务。</w:t>
      </w:r>
    </w:p>
    <w:p>
      <w:pPr>
        <w:widowControl/>
        <w:ind w:firstLine="720"/>
        <w:jc w:val="left"/>
        <w:rPr>
          <w:rFonts w:hint="eastAsia" w:ascii="仿宋_GB2312" w:eastAsia="仿宋_GB2312"/>
          <w:sz w:val="32"/>
          <w:szCs w:val="32"/>
        </w:rPr>
      </w:pPr>
      <w:r>
        <w:rPr>
          <w:rFonts w:ascii="Helvetica" w:hAnsi="Helvetica" w:cs="Helvetica"/>
          <w:kern w:val="0"/>
          <w:sz w:val="24"/>
          <w:szCs w:val="24"/>
        </w:rPr>
        <w:drawing>
          <wp:inline distT="0" distB="0" distL="0" distR="0">
            <wp:extent cx="2276475" cy="19716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76475" cy="1971675"/>
                    </a:xfrm>
                    <a:prstGeom prst="rect">
                      <a:avLst/>
                    </a:prstGeom>
                    <a:noFill/>
                    <a:ln>
                      <a:noFill/>
                    </a:ln>
                  </pic:spPr>
                </pic:pic>
              </a:graphicData>
            </a:graphic>
          </wp:inline>
        </w:drawing>
      </w:r>
      <w:r>
        <w:rPr>
          <w:rFonts w:ascii="Helvetica" w:hAnsi="Helvetica" w:cs="Helvetica"/>
          <w:kern w:val="0"/>
          <w:sz w:val="24"/>
          <w:szCs w:val="24"/>
        </w:rPr>
        <w:drawing>
          <wp:inline distT="0" distB="0" distL="0" distR="0">
            <wp:extent cx="2371725" cy="19716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72589" cy="1972393"/>
                    </a:xfrm>
                    <a:prstGeom prst="rect">
                      <a:avLst/>
                    </a:prstGeom>
                    <a:noFill/>
                    <a:ln>
                      <a:noFill/>
                    </a:ln>
                  </pic:spPr>
                </pic:pic>
              </a:graphicData>
            </a:graphic>
          </wp:inline>
        </w:drawing>
      </w:r>
    </w:p>
    <w:p>
      <w:pPr>
        <w:widowControl/>
        <w:ind w:firstLine="640" w:firstLineChars="200"/>
        <w:jc w:val="left"/>
        <w:rPr>
          <w:rFonts w:ascii="仿宋_GB2312" w:eastAsia="仿宋_GB2312"/>
          <w:sz w:val="32"/>
          <w:szCs w:val="32"/>
        </w:rPr>
      </w:pPr>
      <w:r>
        <w:rPr>
          <w:rFonts w:hint="eastAsia" w:ascii="仿宋_GB2312" w:eastAsia="仿宋_GB2312"/>
          <w:sz w:val="32"/>
          <w:szCs w:val="32"/>
        </w:rPr>
        <w:t>参会领导和出席活动的6位驻华大使共同按下启动球，标志着以“中医中药中国行，使节扫码治未病”为主题的“2017年朝阳区驻华使节中医药健康日暨中医药治未病健康促进（落地）工程”正式启动。出席活动的中外嘉宾现场通过手机扫描二维码，关注 “首都治未病”微信公众号（中、英文界面），屏幕上显示出参加各类健康管理人员数量。通过向驻华使节推广中医治未病理念，宣传中医药文化、提供中医药健康服务，助力中医药走向世界。</w:t>
      </w:r>
    </w:p>
    <w:p>
      <w:pPr>
        <w:widowControl/>
        <w:ind w:firstLine="720"/>
        <w:jc w:val="left"/>
        <w:rPr>
          <w:rFonts w:ascii="仿宋_GB2312" w:eastAsia="仿宋_GB2312"/>
          <w:sz w:val="32"/>
          <w:szCs w:val="32"/>
        </w:rPr>
      </w:pPr>
      <w:r>
        <w:rPr>
          <w:rFonts w:hint="eastAsia" w:ascii="仿宋_GB2312" w:eastAsia="仿宋_GB2312"/>
          <w:sz w:val="32"/>
          <w:szCs w:val="32"/>
        </w:rPr>
        <w:t xml:space="preserve">启动仪式上向首批8家朝阳区中医药服务贸易建设单位（北京国医汇中医诊所、北京东文中医诊所、北京弘医堂中医医院、北京黄枢微创骨伤中医医院、北京御源堂中医诊所、北京平心堂金阳中医门诊部、北京行知堂中医诊所、北京行知堂华善中医诊所）及《朝（zhao）阳中医网校》授牌，标志着朝阳区中医药服务贸易工作中的医疗和教育项目进入实质推进阶段，为中医药服务国际化服务流程、服务标准的制订工作奠定基础。萨摩亚大使夫人、科迈隆大使夫人、巴基斯坦大使夫人、巴新武官夫人、英联邦副主席、斯里兰卡副馆长夫人获得“首批朝阳区中医药治未病健康守护者”学员证书，这6位使节夫人将参加系列中医药治未病知识和技能培训，让中医药保健知识走进驻华使节家庭，走向世界，让更多国家人民享受到中医药的服务。 </w:t>
      </w:r>
    </w:p>
    <w:p>
      <w:pPr>
        <w:widowControl/>
        <w:ind w:firstLine="720"/>
        <w:jc w:val="left"/>
        <w:rPr>
          <w:rFonts w:ascii="仿宋_GB2312" w:eastAsia="仿宋_GB2312"/>
          <w:sz w:val="32"/>
          <w:szCs w:val="32"/>
        </w:rPr>
      </w:pPr>
      <w:r>
        <w:rPr>
          <w:rFonts w:ascii="Helvetica" w:hAnsi="Helvetica" w:cs="Helvetica"/>
          <w:kern w:val="0"/>
          <w:sz w:val="24"/>
          <w:szCs w:val="24"/>
        </w:rPr>
        <w:drawing>
          <wp:inline distT="0" distB="0" distL="0" distR="0">
            <wp:extent cx="4443730" cy="1544320"/>
            <wp:effectExtent l="0" t="0" r="127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43751" cy="1544400"/>
                    </a:xfrm>
                    <a:prstGeom prst="rect">
                      <a:avLst/>
                    </a:prstGeom>
                    <a:noFill/>
                    <a:ln>
                      <a:noFill/>
                    </a:ln>
                  </pic:spPr>
                </pic:pic>
              </a:graphicData>
            </a:graphic>
          </wp:inline>
        </w:drawing>
      </w:r>
    </w:p>
    <w:p>
      <w:pPr>
        <w:widowControl/>
        <w:ind w:firstLine="720"/>
        <w:jc w:val="center"/>
        <w:rPr>
          <w:rFonts w:ascii="仿宋_GB2312" w:eastAsia="仿宋_GB2312"/>
          <w:sz w:val="32"/>
          <w:szCs w:val="32"/>
        </w:rPr>
      </w:pPr>
      <w:r>
        <w:rPr>
          <w:rFonts w:ascii="Helvetica" w:hAnsi="Helvetica" w:cs="Helvetica"/>
          <w:kern w:val="0"/>
          <w:sz w:val="24"/>
          <w:szCs w:val="24"/>
        </w:rPr>
        <w:drawing>
          <wp:inline distT="0" distB="0" distL="0" distR="0">
            <wp:extent cx="4305300" cy="2303145"/>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06870" cy="2304000"/>
                    </a:xfrm>
                    <a:prstGeom prst="rect">
                      <a:avLst/>
                    </a:prstGeom>
                    <a:noFill/>
                    <a:ln>
                      <a:noFill/>
                    </a:ln>
                  </pic:spPr>
                </pic:pic>
              </a:graphicData>
            </a:graphic>
          </wp:inline>
        </w:drawing>
      </w:r>
    </w:p>
    <w:p>
      <w:pPr>
        <w:widowControl/>
        <w:spacing w:line="540" w:lineRule="exact"/>
        <w:jc w:val="left"/>
        <w:rPr>
          <w:rFonts w:ascii="仿宋_GB2312" w:eastAsia="仿宋_GB2312"/>
          <w:sz w:val="32"/>
          <w:szCs w:val="32"/>
        </w:rPr>
      </w:pPr>
      <w:r>
        <w:rPr>
          <w:rFonts w:hint="eastAsia" w:ascii="仿宋_GB2312" w:eastAsia="仿宋_GB2312"/>
          <w:sz w:val="32"/>
          <w:szCs w:val="32"/>
        </w:rPr>
        <w:t xml:space="preserve">     启动仪式后，外交官和家人兴致勃勃跟学八段锦养生功法，品尝药食同源产品，欣赏老字号中成药展示，参与中医适宜技术体验和双语养生讲座活动。</w:t>
      </w:r>
    </w:p>
    <w:p>
      <w:pPr>
        <w:widowControl/>
        <w:spacing w:line="540" w:lineRule="exact"/>
        <w:jc w:val="left"/>
        <w:rPr>
          <w:rFonts w:ascii="仿宋_GB2312" w:eastAsia="仿宋_GB2312"/>
          <w:sz w:val="32"/>
          <w:szCs w:val="32"/>
        </w:rPr>
      </w:pPr>
      <w:r>
        <w:rPr>
          <w:rFonts w:hint="eastAsia" w:ascii="仿宋_GB2312" w:eastAsia="仿宋_GB2312"/>
          <w:sz w:val="32"/>
          <w:szCs w:val="32"/>
        </w:rPr>
        <w:t xml:space="preserve">     北京中医在线教育中心对活动仪式进行了全球现场直播。</w:t>
      </w:r>
    </w:p>
    <w:p>
      <w:pPr>
        <w:widowControl/>
        <w:spacing w:line="500" w:lineRule="exact"/>
        <w:jc w:val="left"/>
        <w:rPr>
          <w:rFonts w:ascii="Times New Roman" w:hAnsi="Times New Roman" w:cs="Times New Roman"/>
          <w:kern w:val="0"/>
          <w:szCs w:val="21"/>
        </w:rPr>
      </w:pPr>
      <w:r>
        <w:rPr>
          <w:rFonts w:ascii="华文仿宋" w:hAnsi="华文仿宋" w:eastAsia="华文仿宋"/>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318135</wp:posOffset>
                </wp:positionV>
                <wp:extent cx="5615940" cy="21590"/>
                <wp:effectExtent l="0" t="0" r="22860" b="16510"/>
                <wp:wrapThrough wrapText="bothSides">
                  <wp:wrapPolygon>
                    <wp:start x="0" y="0"/>
                    <wp:lineTo x="0" y="19059"/>
                    <wp:lineTo x="21615" y="19059"/>
                    <wp:lineTo x="21615" y="0"/>
                    <wp:lineTo x="0" y="0"/>
                  </wp:wrapPolygon>
                </wp:wrapThrough>
                <wp:docPr id="3" name="Rectangle 3"/>
                <wp:cNvGraphicFramePr/>
                <a:graphic xmlns:a="http://schemas.openxmlformats.org/drawingml/2006/main">
                  <a:graphicData uri="http://schemas.microsoft.com/office/word/2010/wordprocessingShape">
                    <wps:wsp>
                      <wps:cNvSpPr>
                        <a:spLocks noChangeArrowheads="1"/>
                      </wps:cNvSpPr>
                      <wps:spPr bwMode="auto">
                        <a:xfrm flipV="1">
                          <a:off x="0" y="0"/>
                          <a:ext cx="5615940" cy="21590"/>
                        </a:xfrm>
                        <a:prstGeom prst="rect">
                          <a:avLst/>
                        </a:prstGeom>
                        <a:solidFill>
                          <a:srgbClr val="000000"/>
                        </a:solidFill>
                        <a:ln w="9525">
                          <a:solidFill>
                            <a:srgbClr val="000000"/>
                          </a:solidFill>
                          <a:miter lim="800000"/>
                        </a:ln>
                        <a:effectLst/>
                      </wps:spPr>
                      <wps:bodyPr rot="0" vert="horz" wrap="square" lIns="91440" tIns="45720" rIns="91440" bIns="45720" anchor="ctr" anchorCtr="0" upright="1">
                        <a:noAutofit/>
                      </wps:bodyPr>
                    </wps:wsp>
                  </a:graphicData>
                </a:graphic>
              </wp:anchor>
            </w:drawing>
          </mc:Choice>
          <mc:Fallback>
            <w:pict>
              <v:rect id="Rectangle 3" o:spid="_x0000_s1026" o:spt="1" style="position:absolute;left:0pt;flip:y;margin-left:0pt;margin-top:25.05pt;height:1.7pt;width:442.2pt;mso-wrap-distance-left:9pt;mso-wrap-distance-right:9pt;z-index:251661312;v-text-anchor:middle;mso-width-relative:page;mso-height-relative:page;" fillcolor="#000000" filled="t" stroked="t" coordsize="21600,21600" wrapcoords="0 0 0 19059 21615 19059 21615 0 0 0" o:gfxdata="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Tmlq9YAAAAGAQAADwAAAAAAAAABACAAAAAiAAAAZHJzL2Rvd25yZXYueG1sUEsBAhQA&#10;FAAAAAgAh07iQIoyXR8tAgAAiwQAAA4AAAAAAAAAAQAgAAAAJQEAAGRycy9lMm9Eb2MueG1sUEsF&#10;BgAAAAAGAAYAWQEAAMQFAAAAAA==&#10;">
                <v:fill on="t" focussize="0,0"/>
                <v:stroke color="#000000" miterlimit="8" joinstyle="miter"/>
                <v:imagedata o:title=""/>
                <o:lock v:ext="edit" aspectratio="f"/>
                <w10:wrap type="through"/>
              </v:rect>
            </w:pict>
          </mc:Fallback>
        </mc:AlternateContent>
      </w:r>
    </w:p>
    <w:p>
      <w:pPr>
        <w:spacing w:line="400" w:lineRule="exact"/>
        <w:ind w:firstLine="640" w:firstLineChars="200"/>
        <w:rPr>
          <w:rFonts w:ascii="华文仿宋" w:hAnsi="华文仿宋" w:eastAsia="华文仿宋"/>
          <w:sz w:val="32"/>
          <w:szCs w:val="32"/>
        </w:rPr>
      </w:pPr>
      <w:r>
        <w:rPr>
          <w:rFonts w:hint="eastAsia" w:ascii="华文仿宋" w:hAnsi="华文仿宋" w:eastAsia="华文仿宋"/>
          <w:sz w:val="32"/>
          <w:szCs w:val="32"/>
        </w:rPr>
        <w:t>报：市卫生计生委领导，市医院管理局领导，市中医局领导</w:t>
      </w:r>
    </w:p>
    <w:p>
      <w:pPr>
        <w:spacing w:line="400" w:lineRule="exact"/>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发：市中医局各处室，各区卫生计生委（中医药管理局）、各相关单位 </w:t>
      </w:r>
    </w:p>
    <w:p>
      <w:pPr>
        <w:spacing w:line="400" w:lineRule="exact"/>
        <w:ind w:firstLine="6080" w:firstLineChars="1900"/>
        <w:rPr>
          <w:rFonts w:ascii="华文仿宋" w:hAnsi="华文仿宋" w:eastAsia="华文仿宋"/>
          <w:sz w:val="32"/>
          <w:szCs w:val="32"/>
        </w:rPr>
      </w:pPr>
      <w:r>
        <w:rPr>
          <w:rFonts w:hint="eastAsia" w:ascii="华文仿宋" w:hAnsi="华文仿宋" w:eastAsia="华文仿宋"/>
          <w:sz w:val="32"/>
          <w:szCs w:val="32"/>
        </w:rPr>
        <w:t>（共印100份）</w:t>
      </w:r>
    </w:p>
    <w:p>
      <w:pPr>
        <w:spacing w:line="400" w:lineRule="exact"/>
        <w:rPr>
          <w:rFonts w:ascii="华文仿宋" w:hAnsi="华文仿宋" w:eastAsia="华文仿宋"/>
          <w:sz w:val="32"/>
          <w:szCs w:val="32"/>
        </w:rPr>
      </w:pPr>
      <w:r>
        <w:rPr>
          <w:sz w:val="30"/>
          <w:szCs w:val="30"/>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5615940" cy="36195"/>
                <wp:effectExtent l="0" t="0" r="22860" b="20955"/>
                <wp:wrapThrough wrapText="bothSides">
                  <wp:wrapPolygon>
                    <wp:start x="0" y="0"/>
                    <wp:lineTo x="0" y="22737"/>
                    <wp:lineTo x="21615" y="22737"/>
                    <wp:lineTo x="21615" y="0"/>
                    <wp:lineTo x="0" y="0"/>
                  </wp:wrapPolygon>
                </wp:wrapThrough>
                <wp:docPr id="4" name="Rectangle 2"/>
                <wp:cNvGraphicFramePr/>
                <a:graphic xmlns:a="http://schemas.openxmlformats.org/drawingml/2006/main">
                  <a:graphicData uri="http://schemas.microsoft.com/office/word/2010/wordprocessingShape">
                    <wps:wsp>
                      <wps:cNvSpPr>
                        <a:spLocks noChangeArrowheads="1"/>
                      </wps:cNvSpPr>
                      <wps:spPr bwMode="auto">
                        <a:xfrm flipV="1">
                          <a:off x="0" y="0"/>
                          <a:ext cx="5615940" cy="36195"/>
                        </a:xfrm>
                        <a:prstGeom prst="rect">
                          <a:avLst/>
                        </a:prstGeom>
                        <a:solidFill>
                          <a:srgbClr val="000000">
                            <a:lumMod val="100000"/>
                            <a:lumOff val="0"/>
                          </a:srgbClr>
                        </a:solidFill>
                        <a:ln w="9525">
                          <a:solidFill>
                            <a:srgbClr val="000000">
                              <a:lumMod val="100000"/>
                              <a:lumOff val="0"/>
                            </a:srgbClr>
                          </a:solidFill>
                          <a:miter lim="800000"/>
                        </a:ln>
                        <a:effectLst/>
                      </wps:spPr>
                      <wps:bodyPr rot="0" vert="horz" wrap="square" lIns="91440" tIns="45720" rIns="91440" bIns="45720" anchor="ctr" anchorCtr="0" upright="1">
                        <a:noAutofit/>
                      </wps:bodyPr>
                    </wps:wsp>
                  </a:graphicData>
                </a:graphic>
              </wp:anchor>
            </w:drawing>
          </mc:Choice>
          <mc:Fallback>
            <w:pict>
              <v:rect id="Rectangle 2" o:spid="_x0000_s1026" o:spt="1" style="position:absolute;left:0pt;flip:y;margin-left:-4.15pt;margin-top:1.45pt;height:2.85pt;width:442.2pt;mso-wrap-distance-left:9pt;mso-wrap-distance-right:9pt;z-index:251659264;v-text-anchor:middle;mso-width-relative:page;mso-height-relative:page;" fillcolor="#000000" filled="t" stroked="t" coordsize="21600,21600" wrapcoords="0 0 0 22737 21615 22737 21615 0 0 0" o:gfxdata="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DJbML1QAAAAYBAAAPAAAAAAAAAAEAIAAA&#10;ACIAAABkcnMvZG93bnJldi54bWxQSwECFAAUAAAACACHTuJArWGYKEgCAAD3BAAADgAAAAAAAAAB&#10;ACAAAAAkAQAAZHJzL2Uyb0RvYy54bWxQSwUGAAAAAAYABgBZAQAA3gUAAAAA&#10;">
                <v:fill on="t" focussize="0,0"/>
                <v:stroke color="#000000" miterlimit="8" joinstyle="miter"/>
                <v:imagedata o:title=""/>
                <o:lock v:ext="edit" aspectratio="f"/>
                <w10:wrap type="through"/>
              </v:rect>
            </w:pict>
          </mc:Fallback>
        </mc:AlternateContent>
      </w:r>
      <w:r>
        <w:rPr>
          <w:rFonts w:hint="eastAsia" w:ascii="华文仿宋" w:hAnsi="华文仿宋" w:eastAsia="华文仿宋"/>
          <w:sz w:val="32"/>
          <w:szCs w:val="32"/>
        </w:rPr>
        <w:t>本期责任编辑：赵玉海 何剑  潘媛</w:t>
      </w:r>
    </w:p>
    <w:p>
      <w:pPr>
        <w:spacing w:line="400" w:lineRule="exact"/>
        <w:rPr>
          <w:rFonts w:ascii="仿宋_GB2312" w:hAnsi="仿宋_GB2312" w:eastAsia="仿宋_GB2312" w:cstheme="minorEastAsia"/>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YjZmMWRkMTEzMzI1Y2Y2YWExYTI1M2U3Nzc2NTIifQ=="/>
  </w:docVars>
  <w:rsids>
    <w:rsidRoot w:val="00793E83"/>
    <w:rsid w:val="0000545B"/>
    <w:rsid w:val="00033F6C"/>
    <w:rsid w:val="000839C5"/>
    <w:rsid w:val="000D392D"/>
    <w:rsid w:val="000D5AE7"/>
    <w:rsid w:val="00134D43"/>
    <w:rsid w:val="00137BE3"/>
    <w:rsid w:val="0019585F"/>
    <w:rsid w:val="001C02BA"/>
    <w:rsid w:val="002166DF"/>
    <w:rsid w:val="00287BD0"/>
    <w:rsid w:val="002C1CC0"/>
    <w:rsid w:val="002E4B37"/>
    <w:rsid w:val="002E53A9"/>
    <w:rsid w:val="00315ED3"/>
    <w:rsid w:val="00322187"/>
    <w:rsid w:val="00387146"/>
    <w:rsid w:val="003928E6"/>
    <w:rsid w:val="003D2587"/>
    <w:rsid w:val="00411E0C"/>
    <w:rsid w:val="004178FE"/>
    <w:rsid w:val="0043471E"/>
    <w:rsid w:val="00442306"/>
    <w:rsid w:val="00473D00"/>
    <w:rsid w:val="004D04AA"/>
    <w:rsid w:val="004D12C6"/>
    <w:rsid w:val="00583008"/>
    <w:rsid w:val="005B4AC3"/>
    <w:rsid w:val="00686059"/>
    <w:rsid w:val="006D2265"/>
    <w:rsid w:val="00721900"/>
    <w:rsid w:val="00735902"/>
    <w:rsid w:val="007736CE"/>
    <w:rsid w:val="00793E83"/>
    <w:rsid w:val="0079482A"/>
    <w:rsid w:val="00795BD7"/>
    <w:rsid w:val="00831887"/>
    <w:rsid w:val="008E485C"/>
    <w:rsid w:val="00944846"/>
    <w:rsid w:val="00A81C82"/>
    <w:rsid w:val="00AA1288"/>
    <w:rsid w:val="00AF6001"/>
    <w:rsid w:val="00B615B3"/>
    <w:rsid w:val="00B937B2"/>
    <w:rsid w:val="00C05573"/>
    <w:rsid w:val="00C2451C"/>
    <w:rsid w:val="00C31442"/>
    <w:rsid w:val="00C93B6D"/>
    <w:rsid w:val="00CD4E4E"/>
    <w:rsid w:val="00D75379"/>
    <w:rsid w:val="00DB0650"/>
    <w:rsid w:val="00DD25CD"/>
    <w:rsid w:val="00E146CE"/>
    <w:rsid w:val="00E44705"/>
    <w:rsid w:val="00E44FA0"/>
    <w:rsid w:val="00F02C0A"/>
    <w:rsid w:val="00F41D11"/>
    <w:rsid w:val="00F533AD"/>
    <w:rsid w:val="00F73AA3"/>
    <w:rsid w:val="00F908E1"/>
    <w:rsid w:val="01914546"/>
    <w:rsid w:val="0F3708AE"/>
    <w:rsid w:val="3FAE0ED7"/>
    <w:rsid w:val="4EB62219"/>
    <w:rsid w:val="56B00D30"/>
    <w:rsid w:val="5D124A1B"/>
    <w:rsid w:val="63D53FC1"/>
    <w:rsid w:val="6BC90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page number"/>
    <w:basedOn w:val="6"/>
    <w:unhideWhenUsed/>
    <w:uiPriority w:val="99"/>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1947</Words>
  <Characters>1984</Characters>
  <Lines>14</Lines>
  <Paragraphs>4</Paragraphs>
  <TotalTime>9</TotalTime>
  <ScaleCrop>false</ScaleCrop>
  <LinksUpToDate>false</LinksUpToDate>
  <CharactersWithSpaces>2027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2017-08-30T02:09:00Z</dcterms:created>
  <dc:creator>test</dc:creator>
  <cp:lastModifiedBy> 祺</cp:lastModifiedBy>
  <dcterms:modified xsi:type="dcterms:W3CDTF">2023-05-08T07:29:30Z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BF238A719E884C2191089930D15E30D5_12</vt:lpwstr>
  </property>
</Properties>
</file>