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55" w:rsidRDefault="00FD5955" w:rsidP="00FD5955">
      <w:pPr>
        <w:spacing w:beforeLines="300" w:before="936" w:after="100" w:afterAutospacing="1" w:line="360" w:lineRule="auto"/>
        <w:rPr>
          <w:rFonts w:ascii="黑体" w:eastAsia="黑体" w:hAnsi="黑体"/>
          <w:sz w:val="32"/>
          <w:szCs w:val="32"/>
        </w:rPr>
      </w:pPr>
      <w:bookmarkStart w:id="0" w:name="_GoBack"/>
      <w:r>
        <w:rPr>
          <w:rFonts w:ascii="黑体" w:eastAsia="黑体" w:hAnsi="黑体" w:hint="eastAsia"/>
          <w:sz w:val="32"/>
          <w:szCs w:val="32"/>
        </w:rPr>
        <w:t xml:space="preserve">附表1 </w:t>
      </w:r>
      <w:r>
        <w:rPr>
          <w:rFonts w:ascii="黑体" w:eastAsia="黑体" w:hAnsi="黑体"/>
          <w:sz w:val="32"/>
          <w:szCs w:val="32"/>
        </w:rPr>
        <w:t xml:space="preserve">               </w:t>
      </w:r>
      <w:r>
        <w:rPr>
          <w:rFonts w:ascii="黑体" w:eastAsia="黑体" w:hAnsi="黑体" w:hint="eastAsia"/>
          <w:sz w:val="32"/>
          <w:szCs w:val="32"/>
        </w:rPr>
        <w:t>201</w:t>
      </w:r>
      <w:r>
        <w:rPr>
          <w:rFonts w:ascii="黑体" w:eastAsia="黑体" w:hAnsi="黑体"/>
          <w:sz w:val="32"/>
          <w:szCs w:val="32"/>
        </w:rPr>
        <w:t>9</w:t>
      </w:r>
      <w:r>
        <w:rPr>
          <w:rFonts w:ascii="黑体" w:eastAsia="黑体" w:hAnsi="黑体" w:hint="eastAsia"/>
          <w:sz w:val="32"/>
          <w:szCs w:val="32"/>
        </w:rPr>
        <w:t>年医疗机构国家随机监督抽查检查表</w:t>
      </w:r>
    </w:p>
    <w:tbl>
      <w:tblPr>
        <w:tblStyle w:val="1"/>
        <w:tblW w:w="14029" w:type="dxa"/>
        <w:tblLayout w:type="fixed"/>
        <w:tblLook w:val="04A0" w:firstRow="1" w:lastRow="0" w:firstColumn="1" w:lastColumn="0" w:noHBand="0" w:noVBand="1"/>
      </w:tblPr>
      <w:tblGrid>
        <w:gridCol w:w="840"/>
        <w:gridCol w:w="1360"/>
        <w:gridCol w:w="2331"/>
        <w:gridCol w:w="6804"/>
        <w:gridCol w:w="1134"/>
        <w:gridCol w:w="1560"/>
      </w:tblGrid>
      <w:tr w:rsidR="00FD5955" w:rsidTr="00834796">
        <w:trPr>
          <w:trHeight w:val="360"/>
        </w:trPr>
        <w:tc>
          <w:tcPr>
            <w:tcW w:w="840" w:type="dxa"/>
          </w:tcPr>
          <w:bookmarkEnd w:id="0"/>
          <w:p w:rsidR="00FD5955" w:rsidRDefault="00FD5955" w:rsidP="00834796">
            <w:pPr>
              <w:jc w:val="left"/>
            </w:pPr>
            <w:r>
              <w:rPr>
                <w:rFonts w:cs="Times New Roman" w:hint="eastAsia"/>
              </w:rPr>
              <w:t>检查大类</w:t>
            </w:r>
          </w:p>
        </w:tc>
        <w:tc>
          <w:tcPr>
            <w:tcW w:w="1360" w:type="dxa"/>
          </w:tcPr>
          <w:p w:rsidR="00FD5955" w:rsidRDefault="00FD5955" w:rsidP="00834796">
            <w:pPr>
              <w:jc w:val="left"/>
            </w:pPr>
            <w:r>
              <w:rPr>
                <w:rFonts w:cs="Times New Roman" w:hint="eastAsia"/>
              </w:rPr>
              <w:t>检查中类</w:t>
            </w:r>
          </w:p>
        </w:tc>
        <w:tc>
          <w:tcPr>
            <w:tcW w:w="2331" w:type="dxa"/>
          </w:tcPr>
          <w:p w:rsidR="00FD5955" w:rsidRDefault="00FD5955" w:rsidP="00834796">
            <w:pPr>
              <w:jc w:val="left"/>
            </w:pPr>
            <w:r>
              <w:rPr>
                <w:rFonts w:cs="Times New Roman" w:hint="eastAsia"/>
              </w:rPr>
              <w:t>检查小类</w:t>
            </w:r>
          </w:p>
        </w:tc>
        <w:tc>
          <w:tcPr>
            <w:tcW w:w="6804" w:type="dxa"/>
          </w:tcPr>
          <w:p w:rsidR="00FD5955" w:rsidRDefault="00FD5955" w:rsidP="00834796">
            <w:pPr>
              <w:jc w:val="left"/>
            </w:pPr>
            <w:r>
              <w:rPr>
                <w:rFonts w:cs="Times New Roman" w:hint="eastAsia"/>
              </w:rPr>
              <w:t>检查内容</w:t>
            </w:r>
          </w:p>
        </w:tc>
        <w:tc>
          <w:tcPr>
            <w:tcW w:w="1134" w:type="dxa"/>
          </w:tcPr>
          <w:p w:rsidR="00FD5955" w:rsidRDefault="00FD5955" w:rsidP="00834796">
            <w:pPr>
              <w:jc w:val="left"/>
            </w:pPr>
            <w:r>
              <w:rPr>
                <w:rFonts w:cs="Times New Roman" w:hint="eastAsia"/>
              </w:rPr>
              <w:t>合理缺项</w:t>
            </w:r>
          </w:p>
        </w:tc>
        <w:tc>
          <w:tcPr>
            <w:tcW w:w="1560" w:type="dxa"/>
          </w:tcPr>
          <w:p w:rsidR="00FD5955" w:rsidRDefault="00FD5955" w:rsidP="00834796">
            <w:pPr>
              <w:jc w:val="left"/>
            </w:pPr>
            <w:r>
              <w:rPr>
                <w:rFonts w:cs="Times New Roman" w:hint="eastAsia"/>
              </w:rPr>
              <w:t>评定</w:t>
            </w:r>
          </w:p>
        </w:tc>
      </w:tr>
      <w:tr w:rsidR="00FD5955" w:rsidTr="00834796">
        <w:trPr>
          <w:trHeight w:val="450"/>
        </w:trPr>
        <w:tc>
          <w:tcPr>
            <w:tcW w:w="840" w:type="dxa"/>
            <w:vMerge w:val="restart"/>
          </w:tcPr>
          <w:p w:rsidR="00FD5955" w:rsidRDefault="00FD5955" w:rsidP="00834796">
            <w:pPr>
              <w:jc w:val="left"/>
            </w:pPr>
            <w:r>
              <w:rPr>
                <w:rFonts w:cs="Times New Roman" w:hint="eastAsia"/>
              </w:rPr>
              <w:t>医疗机构</w:t>
            </w:r>
          </w:p>
        </w:tc>
        <w:tc>
          <w:tcPr>
            <w:tcW w:w="1360" w:type="dxa"/>
            <w:vMerge w:val="restart"/>
          </w:tcPr>
          <w:p w:rsidR="00FD5955" w:rsidRDefault="00FD5955" w:rsidP="00834796">
            <w:pPr>
              <w:jc w:val="left"/>
            </w:pPr>
            <w:r>
              <w:rPr>
                <w:rFonts w:cs="Times New Roman" w:hint="eastAsia"/>
              </w:rPr>
              <w:t>医疗机构资质管理</w:t>
            </w:r>
          </w:p>
        </w:tc>
        <w:tc>
          <w:tcPr>
            <w:tcW w:w="2331" w:type="dxa"/>
            <w:vMerge w:val="restart"/>
          </w:tcPr>
          <w:p w:rsidR="00FD5955" w:rsidRDefault="00FD5955" w:rsidP="00834796">
            <w:pPr>
              <w:jc w:val="left"/>
            </w:pPr>
            <w:r>
              <w:rPr>
                <w:rFonts w:cs="Times New Roman" w:hint="eastAsia"/>
              </w:rPr>
              <w:t>执业许可证管理符合要求</w:t>
            </w:r>
          </w:p>
        </w:tc>
        <w:tc>
          <w:tcPr>
            <w:tcW w:w="6804" w:type="dxa"/>
          </w:tcPr>
          <w:p w:rsidR="00FD5955" w:rsidRDefault="00FD5955" w:rsidP="00834796">
            <w:pPr>
              <w:jc w:val="left"/>
            </w:pPr>
            <w:r>
              <w:rPr>
                <w:rFonts w:cs="Times New Roman" w:hint="eastAsia"/>
              </w:rPr>
              <w:t>是否取得《医疗机构执业许可证》</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是否按期办理校验手续</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是否拒不校验的或在限期内仍不办理校验的</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388"/>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val="restart"/>
          </w:tcPr>
          <w:p w:rsidR="00FD5955" w:rsidRDefault="00FD5955" w:rsidP="00834796">
            <w:pPr>
              <w:jc w:val="left"/>
            </w:pPr>
            <w:r>
              <w:rPr>
                <w:rFonts w:cs="Times New Roman" w:hint="eastAsia"/>
              </w:rPr>
              <w:t>人员资格管理（未使用非卫生技术人员）符合要求</w:t>
            </w:r>
          </w:p>
        </w:tc>
        <w:tc>
          <w:tcPr>
            <w:tcW w:w="6804" w:type="dxa"/>
          </w:tcPr>
          <w:p w:rsidR="00FD5955" w:rsidRDefault="00FD5955" w:rsidP="00834796">
            <w:pPr>
              <w:jc w:val="left"/>
            </w:pPr>
            <w:r>
              <w:rPr>
                <w:rFonts w:cs="Times New Roman" w:hint="eastAsia"/>
              </w:rPr>
              <w:t>医师是否未取得抗菌药物处方权开具抗菌药物处方</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87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是否</w:t>
            </w:r>
            <w:proofErr w:type="gramStart"/>
            <w:r>
              <w:rPr>
                <w:rFonts w:cs="Times New Roman" w:hint="eastAsia"/>
              </w:rPr>
              <w:t>任用非</w:t>
            </w:r>
            <w:proofErr w:type="gramEnd"/>
            <w:r>
              <w:rPr>
                <w:rFonts w:cs="Times New Roman" w:hint="eastAsia"/>
              </w:rPr>
              <w:t>卫生技术人员从事医疗卫生技术工作。（医疗机构使用卫生技术人员从事本专业以外的诊疗活动的，按使用非卫生技术人员处理。）</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医师是否未取得麻醉药品和第一类精神药品处方权开具得麻醉药品和第一类精神药品处方</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285"/>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医师是否未取得处方权开具处方</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医疗机构诊疗活动管理符合要求</w:t>
            </w:r>
          </w:p>
        </w:tc>
        <w:tc>
          <w:tcPr>
            <w:tcW w:w="6804" w:type="dxa"/>
          </w:tcPr>
          <w:p w:rsidR="00FD5955" w:rsidRDefault="00FD5955" w:rsidP="00834796">
            <w:pPr>
              <w:jc w:val="left"/>
            </w:pPr>
            <w:r>
              <w:rPr>
                <w:rFonts w:cs="Times New Roman" w:hint="eastAsia"/>
              </w:rPr>
              <w:t>医疗机构诊疗活动是否超出登记的诊疗科目范围（非急诊和急救情况）</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健康体检管理符合要求</w:t>
            </w:r>
          </w:p>
        </w:tc>
        <w:tc>
          <w:tcPr>
            <w:tcW w:w="6804" w:type="dxa"/>
          </w:tcPr>
          <w:p w:rsidR="00FD5955" w:rsidRDefault="00FD5955" w:rsidP="00834796">
            <w:pPr>
              <w:jc w:val="left"/>
            </w:pPr>
            <w:r>
              <w:rPr>
                <w:rFonts w:cs="Times New Roman" w:hint="eastAsia"/>
              </w:rPr>
              <w:t>开展健康体检是否在《医疗机构执业许可证》副本备注栏中登记</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558"/>
        </w:trPr>
        <w:tc>
          <w:tcPr>
            <w:tcW w:w="840" w:type="dxa"/>
            <w:vMerge/>
          </w:tcPr>
          <w:p w:rsidR="00FD5955" w:rsidRDefault="00FD5955" w:rsidP="00834796">
            <w:pPr>
              <w:jc w:val="left"/>
            </w:pPr>
          </w:p>
        </w:tc>
        <w:tc>
          <w:tcPr>
            <w:tcW w:w="1360" w:type="dxa"/>
            <w:vMerge w:val="restart"/>
          </w:tcPr>
          <w:p w:rsidR="00FD5955" w:rsidRDefault="00FD5955" w:rsidP="00834796">
            <w:pPr>
              <w:jc w:val="left"/>
            </w:pPr>
            <w:r>
              <w:rPr>
                <w:rFonts w:cs="Times New Roman" w:hint="eastAsia"/>
              </w:rPr>
              <w:t>医务人员管</w:t>
            </w:r>
            <w:r>
              <w:rPr>
                <w:rFonts w:cs="Times New Roman" w:hint="eastAsia"/>
              </w:rPr>
              <w:lastRenderedPageBreak/>
              <w:t>理</w:t>
            </w:r>
          </w:p>
        </w:tc>
        <w:tc>
          <w:tcPr>
            <w:tcW w:w="2331" w:type="dxa"/>
          </w:tcPr>
          <w:p w:rsidR="00FD5955" w:rsidRDefault="00FD5955" w:rsidP="00834796">
            <w:pPr>
              <w:jc w:val="left"/>
            </w:pPr>
            <w:r>
              <w:rPr>
                <w:rFonts w:cs="Times New Roman" w:hint="eastAsia"/>
              </w:rPr>
              <w:lastRenderedPageBreak/>
              <w:t>医师管理符合要求</w:t>
            </w:r>
          </w:p>
        </w:tc>
        <w:tc>
          <w:tcPr>
            <w:tcW w:w="6804" w:type="dxa"/>
          </w:tcPr>
          <w:p w:rsidR="00FD5955" w:rsidRDefault="00FD5955" w:rsidP="00834796">
            <w:pPr>
              <w:jc w:val="left"/>
            </w:pPr>
            <w:r>
              <w:rPr>
                <w:rFonts w:cs="Times New Roman" w:hint="eastAsia"/>
              </w:rPr>
              <w:t>医师是否取得《医师执业证书》并按其执业类别、范围开展诊疗活动。</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外国医师管理符合要求</w:t>
            </w:r>
          </w:p>
        </w:tc>
        <w:tc>
          <w:tcPr>
            <w:tcW w:w="6804" w:type="dxa"/>
          </w:tcPr>
          <w:p w:rsidR="00FD5955" w:rsidRDefault="00FD5955" w:rsidP="00834796">
            <w:pPr>
              <w:jc w:val="left"/>
            </w:pPr>
            <w:r>
              <w:rPr>
                <w:rFonts w:cs="Times New Roman" w:hint="eastAsia"/>
              </w:rPr>
              <w:t>是否取得北京市卫生局颁发的由卫生部统一印制《外国医师短期行医许可证》</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香港、澳门特别行政区医师管理符合要求</w:t>
            </w:r>
          </w:p>
        </w:tc>
        <w:tc>
          <w:tcPr>
            <w:tcW w:w="6804" w:type="dxa"/>
          </w:tcPr>
          <w:p w:rsidR="00FD5955" w:rsidRDefault="00FD5955" w:rsidP="00834796">
            <w:pPr>
              <w:jc w:val="left"/>
            </w:pPr>
            <w:r>
              <w:rPr>
                <w:rFonts w:cs="Times New Roman" w:hint="eastAsia"/>
              </w:rPr>
              <w:t>检查港澳医师是否未取得《港澳医师短期行医执业证书》行医</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台湾医师管理符合要求</w:t>
            </w:r>
          </w:p>
        </w:tc>
        <w:tc>
          <w:tcPr>
            <w:tcW w:w="6804" w:type="dxa"/>
          </w:tcPr>
          <w:p w:rsidR="00FD5955" w:rsidRDefault="00FD5955" w:rsidP="00834796">
            <w:pPr>
              <w:jc w:val="left"/>
            </w:pPr>
            <w:r>
              <w:rPr>
                <w:rFonts w:cs="Times New Roman" w:hint="eastAsia"/>
              </w:rPr>
              <w:t>检查台湾医师是否未取得《台湾医师短期行医执业证书》行医</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38"/>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乡村医生管理符合要求</w:t>
            </w:r>
          </w:p>
        </w:tc>
        <w:tc>
          <w:tcPr>
            <w:tcW w:w="6804" w:type="dxa"/>
          </w:tcPr>
          <w:p w:rsidR="00FD5955" w:rsidRDefault="00FD5955" w:rsidP="00834796">
            <w:pPr>
              <w:jc w:val="left"/>
            </w:pPr>
            <w:r>
              <w:rPr>
                <w:rFonts w:cs="Times New Roman" w:hint="eastAsia"/>
              </w:rPr>
              <w:t>符合规定申请在村医疗卫生机构执业的人员，是否向村医疗卫生机构所在地的县级人民政府卫生行政主管部门申请执业注册</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1033"/>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护士管理符合要求</w:t>
            </w:r>
          </w:p>
        </w:tc>
        <w:tc>
          <w:tcPr>
            <w:tcW w:w="6804" w:type="dxa"/>
          </w:tcPr>
          <w:p w:rsidR="00FD5955" w:rsidRDefault="00FD5955" w:rsidP="00834796">
            <w:pPr>
              <w:jc w:val="left"/>
            </w:pPr>
            <w:r>
              <w:rPr>
                <w:rFonts w:cs="Times New Roman" w:hint="eastAsia"/>
              </w:rPr>
              <w:t>是否允许未取得护士执业证书的人员或者允许未依照本条例规定办理执业地点变更手续、延续执业注册有效期的护士在本机构从事诊疗技术规范规定的护理活动的</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val="restart"/>
          </w:tcPr>
          <w:p w:rsidR="00FD5955" w:rsidRDefault="00FD5955" w:rsidP="00834796">
            <w:pPr>
              <w:jc w:val="left"/>
            </w:pPr>
            <w:r>
              <w:rPr>
                <w:rFonts w:cs="Times New Roman" w:hint="eastAsia"/>
              </w:rPr>
              <w:t>医技人员管理符合要求</w:t>
            </w:r>
          </w:p>
        </w:tc>
        <w:tc>
          <w:tcPr>
            <w:tcW w:w="6804" w:type="dxa"/>
          </w:tcPr>
          <w:p w:rsidR="00FD5955" w:rsidRDefault="00FD5955" w:rsidP="00834796">
            <w:pPr>
              <w:jc w:val="left"/>
            </w:pPr>
            <w:r>
              <w:rPr>
                <w:rFonts w:cs="Times New Roman" w:hint="eastAsia"/>
              </w:rPr>
              <w:t>医疗机构临床实验室专业技术人员是否具有相应的专业技术职务任职资格</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从事处方调剂工作的人员是否取得药学专业技术职务任职资格</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755"/>
        </w:trPr>
        <w:tc>
          <w:tcPr>
            <w:tcW w:w="840" w:type="dxa"/>
            <w:vMerge/>
          </w:tcPr>
          <w:p w:rsidR="00FD5955" w:rsidRDefault="00FD5955" w:rsidP="00834796">
            <w:pPr>
              <w:jc w:val="left"/>
            </w:pPr>
          </w:p>
        </w:tc>
        <w:tc>
          <w:tcPr>
            <w:tcW w:w="1360" w:type="dxa"/>
            <w:vMerge w:val="restart"/>
          </w:tcPr>
          <w:p w:rsidR="00FD5955" w:rsidRDefault="00FD5955" w:rsidP="00834796">
            <w:pPr>
              <w:jc w:val="left"/>
            </w:pPr>
            <w:r>
              <w:rPr>
                <w:rFonts w:cs="Times New Roman" w:hint="eastAsia"/>
              </w:rPr>
              <w:t>药品和医疗器械管理</w:t>
            </w:r>
          </w:p>
        </w:tc>
        <w:tc>
          <w:tcPr>
            <w:tcW w:w="2331" w:type="dxa"/>
            <w:vMerge w:val="restart"/>
          </w:tcPr>
          <w:p w:rsidR="00FD5955" w:rsidRDefault="00FD5955" w:rsidP="00834796">
            <w:pPr>
              <w:jc w:val="left"/>
            </w:pPr>
            <w:r>
              <w:rPr>
                <w:rFonts w:cs="Times New Roman" w:hint="eastAsia"/>
              </w:rPr>
              <w:t>麻醉药品和精神药品管理符合要求</w:t>
            </w:r>
          </w:p>
        </w:tc>
        <w:tc>
          <w:tcPr>
            <w:tcW w:w="6804" w:type="dxa"/>
          </w:tcPr>
          <w:p w:rsidR="00FD5955" w:rsidRDefault="00FD5955" w:rsidP="00834796">
            <w:pPr>
              <w:jc w:val="left"/>
            </w:pPr>
            <w:r>
              <w:rPr>
                <w:rFonts w:cs="Times New Roman" w:hint="eastAsia"/>
              </w:rPr>
              <w:t>麻醉药品、第一类精神药品的储存是否符合要求（是否设立专库或者专柜储存，并实行双人双锁管理）</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麻醉药品、第一类精神药品的购买是否符合要求</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755"/>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val="restart"/>
          </w:tcPr>
          <w:p w:rsidR="00FD5955" w:rsidRDefault="00FD5955" w:rsidP="00834796">
            <w:pPr>
              <w:jc w:val="left"/>
            </w:pPr>
            <w:r>
              <w:rPr>
                <w:rFonts w:cs="Times New Roman" w:hint="eastAsia"/>
              </w:rPr>
              <w:t>抗菌药物管理符合要求</w:t>
            </w:r>
          </w:p>
        </w:tc>
        <w:tc>
          <w:tcPr>
            <w:tcW w:w="6804" w:type="dxa"/>
          </w:tcPr>
          <w:p w:rsidR="00FD5955" w:rsidRDefault="00FD5955" w:rsidP="00834796">
            <w:pPr>
              <w:jc w:val="left"/>
            </w:pPr>
            <w:r>
              <w:rPr>
                <w:rFonts w:cs="Times New Roman" w:hint="eastAsia"/>
              </w:rPr>
              <w:t>医疗机构是否设立抗菌药物管理工作机构或者配备（兼）职人员负责本机构的抗菌药物管理工作</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vMerge/>
          </w:tcPr>
          <w:p w:rsidR="00FD5955" w:rsidRDefault="00FD5955" w:rsidP="00834796">
            <w:pPr>
              <w:jc w:val="left"/>
            </w:pPr>
          </w:p>
        </w:tc>
        <w:tc>
          <w:tcPr>
            <w:tcW w:w="6804" w:type="dxa"/>
          </w:tcPr>
          <w:p w:rsidR="00FD5955" w:rsidRDefault="00FD5955" w:rsidP="00834796">
            <w:pPr>
              <w:jc w:val="left"/>
            </w:pPr>
            <w:r>
              <w:rPr>
                <w:rFonts w:cs="Times New Roman" w:hint="eastAsia"/>
              </w:rPr>
              <w:t>医疗机构应当建立本机构抗菌药物管理工作制度</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医疗器械管理符合要求</w:t>
            </w:r>
          </w:p>
        </w:tc>
        <w:tc>
          <w:tcPr>
            <w:tcW w:w="6804" w:type="dxa"/>
          </w:tcPr>
          <w:p w:rsidR="00FD5955" w:rsidRDefault="00FD5955" w:rsidP="00834796">
            <w:pPr>
              <w:jc w:val="left"/>
            </w:pPr>
            <w:r>
              <w:rPr>
                <w:rFonts w:cs="Times New Roman" w:hint="eastAsia"/>
              </w:rPr>
              <w:t>检查医疗器械使用单位是否存在未依照本条例规定建立并执行医疗器械进货查验记录制度的行为</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val="restart"/>
          </w:tcPr>
          <w:p w:rsidR="00FD5955" w:rsidRDefault="00FD5955" w:rsidP="00834796">
            <w:pPr>
              <w:jc w:val="left"/>
            </w:pPr>
            <w:r>
              <w:rPr>
                <w:rFonts w:cs="Times New Roman" w:hint="eastAsia"/>
              </w:rPr>
              <w:t>医疗技术管理</w:t>
            </w:r>
          </w:p>
        </w:tc>
        <w:tc>
          <w:tcPr>
            <w:tcW w:w="2331" w:type="dxa"/>
          </w:tcPr>
          <w:p w:rsidR="00FD5955" w:rsidRDefault="00FD5955" w:rsidP="00834796">
            <w:pPr>
              <w:jc w:val="left"/>
            </w:pPr>
            <w:r>
              <w:rPr>
                <w:rFonts w:cs="Times New Roman" w:hint="eastAsia"/>
              </w:rPr>
              <w:t>禁止临床应用技术管理符合要求</w:t>
            </w:r>
          </w:p>
        </w:tc>
        <w:tc>
          <w:tcPr>
            <w:tcW w:w="6804" w:type="dxa"/>
          </w:tcPr>
          <w:p w:rsidR="00FD5955" w:rsidRDefault="00FD5955" w:rsidP="00834796">
            <w:pPr>
              <w:jc w:val="left"/>
            </w:pPr>
            <w:r>
              <w:rPr>
                <w:rFonts w:cs="Times New Roman" w:hint="eastAsia"/>
              </w:rPr>
              <w:t>医疗机构是否在临床应用卫生部废除或者禁止使用的医疗技术</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重点医疗</w:t>
            </w:r>
            <w:r>
              <w:rPr>
                <w:rFonts w:cs="Times New Roman"/>
              </w:rPr>
              <w:t>技术、</w:t>
            </w:r>
            <w:r>
              <w:rPr>
                <w:rFonts w:cs="Times New Roman" w:hint="eastAsia"/>
              </w:rPr>
              <w:t>限制临床应用技术管理符合要求</w:t>
            </w:r>
          </w:p>
        </w:tc>
        <w:tc>
          <w:tcPr>
            <w:tcW w:w="6804" w:type="dxa"/>
          </w:tcPr>
          <w:p w:rsidR="00FD5955" w:rsidRDefault="00FD5955" w:rsidP="00834796">
            <w:pPr>
              <w:jc w:val="left"/>
            </w:pPr>
            <w:r>
              <w:rPr>
                <w:rFonts w:cs="Times New Roman" w:hint="eastAsia"/>
              </w:rPr>
              <w:t>医疗机构开展重点</w:t>
            </w:r>
            <w:r>
              <w:rPr>
                <w:rFonts w:cs="Times New Roman"/>
              </w:rPr>
              <w:t>医疗技术、</w:t>
            </w:r>
            <w:r>
              <w:rPr>
                <w:rFonts w:cs="Times New Roman" w:hint="eastAsia"/>
              </w:rPr>
              <w:t>限制临床应用技术是否经《医疗机构执业许可证》登记机构备案并公示</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医疗美容管理符合要求</w:t>
            </w:r>
          </w:p>
        </w:tc>
        <w:tc>
          <w:tcPr>
            <w:tcW w:w="6804" w:type="dxa"/>
          </w:tcPr>
          <w:p w:rsidR="00FD5955" w:rsidRDefault="00FD5955" w:rsidP="00834796">
            <w:pPr>
              <w:jc w:val="left"/>
            </w:pPr>
            <w:r>
              <w:rPr>
                <w:rFonts w:cs="Times New Roman" w:hint="eastAsia"/>
              </w:rPr>
              <w:t>开展的医疗美容项目是否在卫生行政部门核定的诊疗科目范围内</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45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临床基因扩增管理符合要求</w:t>
            </w:r>
          </w:p>
        </w:tc>
        <w:tc>
          <w:tcPr>
            <w:tcW w:w="6804" w:type="dxa"/>
          </w:tcPr>
          <w:p w:rsidR="00FD5955" w:rsidRDefault="00FD5955" w:rsidP="00834796">
            <w:pPr>
              <w:jc w:val="left"/>
            </w:pPr>
            <w:r>
              <w:rPr>
                <w:rFonts w:cs="Times New Roman" w:hint="eastAsia"/>
              </w:rPr>
              <w:t>医疗机构开展临床基因扩增是否经省级卫生行政部门登记</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干细胞临床研究管理符合要求</w:t>
            </w:r>
          </w:p>
        </w:tc>
        <w:tc>
          <w:tcPr>
            <w:tcW w:w="6804" w:type="dxa"/>
          </w:tcPr>
          <w:p w:rsidR="00FD5955" w:rsidRDefault="00FD5955" w:rsidP="00834796">
            <w:pPr>
              <w:jc w:val="left"/>
            </w:pPr>
            <w:r>
              <w:rPr>
                <w:rFonts w:cs="Times New Roman" w:hint="eastAsia"/>
              </w:rPr>
              <w:t>医疗机构开展干细胞临床研究是否向相关部门备案</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需改进</w:t>
            </w:r>
          </w:p>
        </w:tc>
      </w:tr>
      <w:tr w:rsidR="00FD5955" w:rsidTr="00834796">
        <w:trPr>
          <w:trHeight w:val="617"/>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临床研究管理符合要求</w:t>
            </w:r>
          </w:p>
        </w:tc>
        <w:tc>
          <w:tcPr>
            <w:tcW w:w="6804" w:type="dxa"/>
          </w:tcPr>
          <w:p w:rsidR="00FD5955" w:rsidRDefault="00FD5955" w:rsidP="00834796">
            <w:pPr>
              <w:jc w:val="left"/>
            </w:pPr>
            <w:r>
              <w:rPr>
                <w:rFonts w:cs="Times New Roman" w:hint="eastAsia"/>
              </w:rPr>
              <w:t>医疗卫生机构开展临床研究是否取得法律法规规定的资质，药物和医疗器械临床试验机构应当按相应要求获得资格认定，并具备相应的能力</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需改进</w:t>
            </w:r>
          </w:p>
        </w:tc>
      </w:tr>
      <w:tr w:rsidR="00FD5955" w:rsidTr="00834796">
        <w:trPr>
          <w:trHeight w:val="450"/>
        </w:trPr>
        <w:tc>
          <w:tcPr>
            <w:tcW w:w="840" w:type="dxa"/>
            <w:vMerge/>
          </w:tcPr>
          <w:p w:rsidR="00FD5955" w:rsidRDefault="00FD5955" w:rsidP="00834796">
            <w:pPr>
              <w:jc w:val="left"/>
            </w:pPr>
          </w:p>
        </w:tc>
        <w:tc>
          <w:tcPr>
            <w:tcW w:w="1360" w:type="dxa"/>
            <w:vMerge w:val="restart"/>
          </w:tcPr>
          <w:p w:rsidR="00FD5955" w:rsidRDefault="00FD5955" w:rsidP="00834796">
            <w:pPr>
              <w:jc w:val="left"/>
            </w:pPr>
            <w:r>
              <w:rPr>
                <w:rFonts w:cs="Times New Roman" w:hint="eastAsia"/>
              </w:rPr>
              <w:t>医疗文书管理</w:t>
            </w:r>
          </w:p>
        </w:tc>
        <w:tc>
          <w:tcPr>
            <w:tcW w:w="2331" w:type="dxa"/>
          </w:tcPr>
          <w:p w:rsidR="00FD5955" w:rsidRDefault="00FD5955" w:rsidP="00834796">
            <w:pPr>
              <w:jc w:val="left"/>
            </w:pPr>
            <w:r>
              <w:rPr>
                <w:rFonts w:cs="Times New Roman" w:hint="eastAsia"/>
              </w:rPr>
              <w:t>处方管理符合要求</w:t>
            </w:r>
          </w:p>
        </w:tc>
        <w:tc>
          <w:tcPr>
            <w:tcW w:w="6804" w:type="dxa"/>
          </w:tcPr>
          <w:p w:rsidR="00FD5955" w:rsidRDefault="00FD5955" w:rsidP="00834796">
            <w:pPr>
              <w:jc w:val="left"/>
            </w:pPr>
            <w:r>
              <w:rPr>
                <w:rFonts w:cs="Times New Roman" w:hint="eastAsia"/>
              </w:rPr>
              <w:t>医疗机构是否根据本机构性质、功能、任务，制定药品处方集</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需改进</w:t>
            </w:r>
          </w:p>
        </w:tc>
      </w:tr>
      <w:tr w:rsidR="00FD5955" w:rsidTr="00834796">
        <w:trPr>
          <w:trHeight w:val="746"/>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病历管理符合要求</w:t>
            </w:r>
          </w:p>
        </w:tc>
        <w:tc>
          <w:tcPr>
            <w:tcW w:w="6804" w:type="dxa"/>
          </w:tcPr>
          <w:p w:rsidR="00FD5955" w:rsidRDefault="00FD5955" w:rsidP="00834796">
            <w:pPr>
              <w:jc w:val="left"/>
            </w:pPr>
            <w:r>
              <w:rPr>
                <w:rFonts w:cs="Times New Roman" w:hint="eastAsia"/>
              </w:rPr>
              <w:t>医疗机构是否加强病历质量管理，是否建立并实施病历质量管理制度，是否保障病历书写客观、真实、准确、及时、完整、规范</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需改进</w:t>
            </w:r>
          </w:p>
        </w:tc>
      </w:tr>
      <w:tr w:rsidR="00FD5955" w:rsidTr="00834796">
        <w:trPr>
          <w:trHeight w:val="660"/>
        </w:trPr>
        <w:tc>
          <w:tcPr>
            <w:tcW w:w="840" w:type="dxa"/>
            <w:vMerge/>
          </w:tcPr>
          <w:p w:rsidR="00FD5955" w:rsidRDefault="00FD5955" w:rsidP="00834796">
            <w:pPr>
              <w:jc w:val="left"/>
            </w:pPr>
          </w:p>
        </w:tc>
        <w:tc>
          <w:tcPr>
            <w:tcW w:w="1360" w:type="dxa"/>
            <w:vMerge/>
          </w:tcPr>
          <w:p w:rsidR="00FD5955" w:rsidRDefault="00FD5955" w:rsidP="00834796">
            <w:pPr>
              <w:jc w:val="left"/>
            </w:pPr>
          </w:p>
        </w:tc>
        <w:tc>
          <w:tcPr>
            <w:tcW w:w="2331" w:type="dxa"/>
          </w:tcPr>
          <w:p w:rsidR="00FD5955" w:rsidRDefault="00FD5955" w:rsidP="00834796">
            <w:pPr>
              <w:jc w:val="left"/>
            </w:pPr>
            <w:r>
              <w:rPr>
                <w:rFonts w:cs="Times New Roman" w:hint="eastAsia"/>
              </w:rPr>
              <w:t>医学证明文件管理符合要求</w:t>
            </w:r>
          </w:p>
        </w:tc>
        <w:tc>
          <w:tcPr>
            <w:tcW w:w="6804" w:type="dxa"/>
          </w:tcPr>
          <w:p w:rsidR="00FD5955" w:rsidRDefault="00FD5955" w:rsidP="00834796">
            <w:pPr>
              <w:jc w:val="left"/>
            </w:pPr>
            <w:r>
              <w:rPr>
                <w:rFonts w:cs="Times New Roman" w:hint="eastAsia"/>
              </w:rPr>
              <w:t>医疗机构是否未经医生亲自诊查病人，出具有关疾病诊断书、健康证明书、其他证明文件</w:t>
            </w:r>
          </w:p>
        </w:tc>
        <w:tc>
          <w:tcPr>
            <w:tcW w:w="1134" w:type="dxa"/>
          </w:tcPr>
          <w:p w:rsidR="00FD5955" w:rsidRDefault="00FD5955" w:rsidP="00834796">
            <w:pPr>
              <w:jc w:val="left"/>
            </w:pPr>
            <w:r>
              <w:rPr>
                <w:rFonts w:cs="Times New Roman" w:hint="eastAsia"/>
              </w:rPr>
              <w:t>-</w:t>
            </w:r>
          </w:p>
        </w:tc>
        <w:tc>
          <w:tcPr>
            <w:tcW w:w="1560" w:type="dxa"/>
          </w:tcPr>
          <w:p w:rsidR="00FD5955" w:rsidRDefault="00FD5955" w:rsidP="00834796">
            <w:pPr>
              <w:jc w:val="left"/>
            </w:pPr>
            <w:r>
              <w:rPr>
                <w:rFonts w:cs="Times New Roman" w:hint="eastAsia"/>
              </w:rPr>
              <w:t>合格</w:t>
            </w:r>
            <w:r>
              <w:rPr>
                <w:rFonts w:cs="Times New Roman" w:hint="eastAsia"/>
              </w:rPr>
              <w:t>/</w:t>
            </w:r>
            <w:r>
              <w:rPr>
                <w:rFonts w:cs="Times New Roman" w:hint="eastAsia"/>
              </w:rPr>
              <w:t>不合格</w:t>
            </w:r>
          </w:p>
        </w:tc>
      </w:tr>
    </w:tbl>
    <w:p w:rsidR="00FD5955" w:rsidRDefault="00FD5955" w:rsidP="00FD5955">
      <w:pPr>
        <w:spacing w:beforeLines="100" w:before="312"/>
        <w:rPr>
          <w:rFonts w:ascii="黑体" w:eastAsia="黑体" w:hAnsi="黑体"/>
          <w:sz w:val="32"/>
          <w:szCs w:val="32"/>
        </w:rPr>
      </w:pPr>
    </w:p>
    <w:p w:rsidR="00FD5955" w:rsidRDefault="00FD5955" w:rsidP="00FD5955">
      <w:pPr>
        <w:spacing w:beforeLines="100" w:before="312"/>
        <w:rPr>
          <w:rFonts w:ascii="黑体" w:eastAsia="黑体" w:hAnsi="黑体"/>
          <w:sz w:val="32"/>
          <w:szCs w:val="32"/>
        </w:rPr>
      </w:pPr>
    </w:p>
    <w:p w:rsidR="00E861A9" w:rsidRDefault="00FD5955"/>
    <w:sectPr w:rsidR="00E861A9" w:rsidSect="00FD595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55"/>
    <w:rsid w:val="004C3BD1"/>
    <w:rsid w:val="009B3CD6"/>
    <w:rsid w:val="00FD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4721-299A-408C-8CFE-E951F852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95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39"/>
    <w:rsid w:val="00FD59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娜</dc:creator>
  <cp:keywords/>
  <dc:description/>
  <cp:lastModifiedBy>杨 娜</cp:lastModifiedBy>
  <cp:revision>1</cp:revision>
  <dcterms:created xsi:type="dcterms:W3CDTF">2020-01-13T09:11:00Z</dcterms:created>
  <dcterms:modified xsi:type="dcterms:W3CDTF">2020-01-13T09:11:00Z</dcterms:modified>
</cp:coreProperties>
</file>