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DC950D">
      <w:pPr>
        <w:snapToGrid w:val="0"/>
        <w:spacing w:line="360" w:lineRule="auto"/>
        <w:jc w:val="center"/>
        <w:rPr>
          <w:rFonts w:ascii="微软雅黑" w:hAnsi="微软雅黑" w:eastAsia="微软雅黑"/>
          <w:b/>
          <w:bCs/>
          <w:color w:val="000000" w:themeColor="text1"/>
          <w:sz w:val="40"/>
          <w:szCs w:val="40"/>
          <w14:textFill>
            <w14:solidFill>
              <w14:schemeClr w14:val="tx1"/>
            </w14:solidFill>
          </w14:textFill>
        </w:rPr>
      </w:pPr>
      <w:r>
        <w:rPr>
          <w:rFonts w:hint="eastAsia" w:ascii="微软雅黑" w:hAnsi="微软雅黑" w:eastAsia="微软雅黑"/>
          <w:b/>
          <w:bCs/>
          <w:color w:val="000000" w:themeColor="text1"/>
          <w:sz w:val="40"/>
          <w:szCs w:val="40"/>
          <w14:textFill>
            <w14:solidFill>
              <w14:schemeClr w14:val="tx1"/>
            </w14:solidFill>
          </w14:textFill>
        </w:rPr>
        <w:t>易考在线考试考生操作手册</w:t>
      </w:r>
    </w:p>
    <w:p w14:paraId="73398EAA">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本次考试为</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形式，考生需自行准备符合要求的考试设备、监控设备和考试场所。</w:t>
      </w:r>
    </w:p>
    <w:p w14:paraId="31C0C922">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请考生知悉：根据考试主办方的管理要求，考试全程需同时开启两路在线视频监控，以满足远程在线监考的必需。</w:t>
      </w:r>
    </w:p>
    <w:p w14:paraId="35E1C6AD">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易考客户端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14:paraId="318F9B23">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0" w:name="__第二视角鹰眼监控要求"/>
      <w:bookmarkEnd w:id="0"/>
      <w:bookmarkStart w:id="1" w:name="___第二视角鹰眼监控要求"/>
      <w:bookmarkEnd w:id="1"/>
      <w:r>
        <w:rPr>
          <w:rFonts w:ascii="微软雅黑" w:hAnsi="微软雅黑" w:eastAsia="微软雅黑"/>
          <w:color w:val="000000" w:themeColor="text1"/>
          <w:sz w:val="21"/>
          <w:szCs w:val="21"/>
          <w14:textFill>
            <w14:solidFill>
              <w14:schemeClr w14:val="tx1"/>
            </w14:solidFill>
          </w14:textFill>
        </w:rPr>
        <w:t>考试环境、电子设备软硬件要求</w:t>
      </w:r>
    </w:p>
    <w:p w14:paraId="6D3F61B5">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14:paraId="33944E59">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w:t>
      </w:r>
    </w:p>
    <w:p w14:paraId="5B8E6DE5">
      <w:pPr>
        <w:pStyle w:val="19"/>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考生应选择安静、光线充足、独立的空间独自参加考试，不建议在公共场所（如</w:t>
      </w:r>
      <w:r>
        <w:rPr>
          <w:rFonts w:hint="eastAsia" w:ascii="微软雅黑" w:hAnsi="微软雅黑" w:eastAsia="微软雅黑" w:cs="等线"/>
          <w:color w:val="000000" w:themeColor="text1"/>
          <w:sz w:val="21"/>
          <w:szCs w:val="21"/>
          <w14:textFill>
            <w14:solidFill>
              <w14:schemeClr w14:val="tx1"/>
            </w14:solidFill>
          </w14:textFill>
        </w:rPr>
        <w:t>公共教室</w:t>
      </w:r>
      <w:r>
        <w:rPr>
          <w:rFonts w:ascii="微软雅黑" w:hAnsi="微软雅黑" w:eastAsia="微软雅黑" w:cs="等线"/>
          <w:color w:val="000000" w:themeColor="text1"/>
          <w:sz w:val="21"/>
          <w:szCs w:val="21"/>
          <w14:textFill>
            <w14:solidFill>
              <w14:schemeClr w14:val="tx1"/>
            </w14:solidFill>
          </w14:textFill>
        </w:rPr>
        <w:t>、图书馆、咖啡馆、办公室等）进行考试</w:t>
      </w:r>
      <w:r>
        <w:rPr>
          <w:rFonts w:hint="eastAsia" w:ascii="微软雅黑" w:hAnsi="微软雅黑" w:eastAsia="微软雅黑" w:cs="等线"/>
          <w:color w:val="000000" w:themeColor="text1"/>
          <w:sz w:val="21"/>
          <w:szCs w:val="21"/>
          <w14:textFill>
            <w14:solidFill>
              <w14:schemeClr w14:val="tx1"/>
            </w14:solidFill>
          </w14:textFill>
        </w:rPr>
        <w:t>。</w:t>
      </w:r>
    </w:p>
    <w:p w14:paraId="021AC190">
      <w:pPr>
        <w:pStyle w:val="19"/>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考试全过程严格禁止无关人员出入考试场所。</w:t>
      </w:r>
    </w:p>
    <w:p w14:paraId="57805CD8">
      <w:pPr>
        <w:pStyle w:val="19"/>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p>
    <w:p w14:paraId="7276B8C3">
      <w:pPr>
        <w:pStyle w:val="19"/>
        <w:numPr>
          <w:ilvl w:val="0"/>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用于在线考试的</w:t>
      </w:r>
      <w:r>
        <w:rPr>
          <w:rFonts w:ascii="微软雅黑" w:hAnsi="微软雅黑" w:eastAsia="微软雅黑"/>
          <w:color w:val="000000" w:themeColor="text1"/>
          <w:sz w:val="21"/>
          <w:szCs w:val="21"/>
          <w14:textFill>
            <w14:solidFill>
              <w14:schemeClr w14:val="tx1"/>
            </w14:solidFill>
          </w14:textFill>
        </w:rPr>
        <w:t>电脑</w:t>
      </w:r>
    </w:p>
    <w:p w14:paraId="4F9B1011">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安装易考客户端需要带</w:t>
      </w:r>
      <w:r>
        <w:rPr>
          <w:rFonts w:ascii="微软雅黑" w:hAnsi="微软雅黑" w:eastAsia="微软雅黑" w:cs="等线"/>
          <w:color w:val="000000" w:themeColor="text1"/>
          <w:sz w:val="21"/>
          <w:szCs w:val="21"/>
          <w14:textFill>
            <w14:solidFill>
              <w14:schemeClr w14:val="tx1"/>
            </w14:solidFill>
          </w14:textFill>
        </w:rPr>
        <w:t>正常上网功能</w:t>
      </w:r>
      <w:r>
        <w:rPr>
          <w:rFonts w:hint="eastAsia" w:ascii="微软雅黑" w:hAnsi="微软雅黑" w:eastAsia="微软雅黑" w:cs="等线"/>
          <w:color w:val="000000" w:themeColor="text1"/>
          <w:sz w:val="21"/>
          <w:szCs w:val="21"/>
          <w14:textFill>
            <w14:solidFill>
              <w14:schemeClr w14:val="tx1"/>
            </w14:solidFill>
          </w14:textFill>
        </w:rPr>
        <w:t>的电脑，电脑操作系统要求为</w:t>
      </w:r>
      <w:r>
        <w:rPr>
          <w:rFonts w:ascii="微软雅黑" w:hAnsi="微软雅黑" w:eastAsia="微软雅黑" w:cs="等线"/>
          <w:color w:val="000000" w:themeColor="text1"/>
          <w:sz w:val="21"/>
          <w:szCs w:val="21"/>
          <w14:textFill>
            <w14:solidFill>
              <w14:schemeClr w14:val="tx1"/>
            </w14:solidFill>
          </w14:textFill>
        </w:rPr>
        <w:t>Win7、Win10或Mac OS 10.15.17及以上</w:t>
      </w:r>
      <w:r>
        <w:rPr>
          <w:rFonts w:hint="eastAsia" w:ascii="微软雅黑" w:hAnsi="微软雅黑" w:eastAsia="微软雅黑" w:cs="等线"/>
          <w:color w:val="000000" w:themeColor="text1"/>
          <w:sz w:val="21"/>
          <w:szCs w:val="21"/>
          <w14:textFill>
            <w14:solidFill>
              <w14:schemeClr w14:val="tx1"/>
            </w14:solidFill>
          </w14:textFill>
        </w:rPr>
        <w:t>；</w:t>
      </w:r>
    </w:p>
    <w:p w14:paraId="0AC44681">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考试用电脑具备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可正常工作的摄像设备（内置或外置摄像头均可）；如考试要求同时启用音频监控，考试设备还需具备可正常工作的音频输入设备；</w:t>
      </w:r>
    </w:p>
    <w:p w14:paraId="26D16CAD">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14:paraId="4B42E9F6">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14:paraId="61165649">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highlight w:val="yellow"/>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进入考试系统前应关闭电脑上与考试无关网页和软件，包括安全卫士、电脑管家及各类通讯软件，以免由于被动弹窗导致被系统判定为作弊；</w:t>
      </w:r>
      <w:r>
        <w:rPr>
          <w:rFonts w:hint="eastAsia" w:ascii="微软雅黑" w:hAnsi="微软雅黑" w:eastAsia="微软雅黑"/>
          <w:color w:val="000000" w:themeColor="text1"/>
          <w:sz w:val="21"/>
          <w:szCs w:val="21"/>
          <w:highlight w:val="yellow"/>
          <w14:textFill>
            <w14:solidFill>
              <w14:schemeClr w14:val="tx1"/>
            </w14:solidFill>
          </w14:textFill>
        </w:rPr>
        <w:t>并请卸载暴风音影软件。</w:t>
      </w:r>
    </w:p>
    <w:p w14:paraId="30F91925">
      <w:pPr>
        <w:pStyle w:val="19"/>
        <w:widowControl w:val="0"/>
        <w:snapToGrid w:val="0"/>
        <w:spacing w:line="360" w:lineRule="auto"/>
        <w:ind w:left="840" w:firstLine="0" w:firstLineChars="0"/>
        <w:jc w:val="both"/>
        <w:rPr>
          <w:rFonts w:ascii="微软雅黑" w:hAnsi="微软雅黑" w:eastAsia="微软雅黑"/>
          <w:color w:val="000000" w:themeColor="text1"/>
          <w:sz w:val="21"/>
          <w:szCs w:val="21"/>
          <w14:textFill>
            <w14:solidFill>
              <w14:schemeClr w14:val="tx1"/>
            </w14:solidFill>
          </w14:textFill>
        </w:rPr>
      </w:pPr>
    </w:p>
    <w:p w14:paraId="5F466620">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用作鹰眼第二视角监控的设备</w:t>
      </w:r>
    </w:p>
    <w:p w14:paraId="2AC8B09E">
      <w:pPr>
        <w:pStyle w:val="19"/>
        <w:numPr>
          <w:ilvl w:val="1"/>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w:t>
      </w:r>
      <w:r>
        <w:rPr>
          <w:rFonts w:hint="eastAsia" w:ascii="微软雅黑" w:hAnsi="微软雅黑" w:eastAsia="微软雅黑"/>
          <w:color w:val="000000" w:themeColor="text1"/>
          <w:sz w:val="21"/>
          <w:szCs w:val="21"/>
          <w14:textFill>
            <w14:solidFill>
              <w14:schemeClr w14:val="tx1"/>
            </w14:solidFill>
          </w14:textFill>
        </w:rPr>
        <w:t>。</w:t>
      </w:r>
    </w:p>
    <w:p w14:paraId="702C72D0">
      <w:pPr>
        <w:pStyle w:val="19"/>
        <w:numPr>
          <w:ilvl w:val="1"/>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tbl>
      <w:tblPr>
        <w:tblStyle w:val="11"/>
        <w:tblW w:w="6375" w:type="dxa"/>
        <w:jc w:val="center"/>
        <w:tblLayout w:type="autofit"/>
        <w:tblCellMar>
          <w:top w:w="0" w:type="dxa"/>
          <w:left w:w="108" w:type="dxa"/>
          <w:bottom w:w="0" w:type="dxa"/>
          <w:right w:w="108" w:type="dxa"/>
        </w:tblCellMar>
      </w:tblPr>
      <w:tblGrid>
        <w:gridCol w:w="1842"/>
        <w:gridCol w:w="2231"/>
        <w:gridCol w:w="2302"/>
      </w:tblGrid>
      <w:tr w14:paraId="24E69BC7">
        <w:tblPrEx>
          <w:tblCellMar>
            <w:top w:w="0" w:type="dxa"/>
            <w:left w:w="108" w:type="dxa"/>
            <w:bottom w:w="0" w:type="dxa"/>
            <w:right w:w="108" w:type="dxa"/>
          </w:tblCellMar>
        </w:tblPrEx>
        <w:trPr>
          <w:trHeight w:val="574"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14:paraId="743D9876">
            <w:pPr>
              <w:jc w:val="center"/>
              <w:rPr>
                <w:rFonts w:ascii="等线" w:hAnsi="等线" w:eastAsia="等线"/>
                <w:b/>
                <w:bCs/>
                <w:color w:val="000000"/>
                <w:sz w:val="22"/>
                <w:szCs w:val="22"/>
              </w:rPr>
            </w:pPr>
            <w:r>
              <w:rPr>
                <w:rFonts w:hint="eastAsia" w:ascii="等线" w:hAnsi="等线" w:eastAsia="等线"/>
                <w:b/>
                <w:bCs/>
                <w:color w:val="000000"/>
                <w:sz w:val="22"/>
                <w:szCs w:val="22"/>
              </w:rPr>
              <w:t>设备</w:t>
            </w:r>
          </w:p>
        </w:tc>
        <w:tc>
          <w:tcPr>
            <w:tcW w:w="4533" w:type="dxa"/>
            <w:gridSpan w:val="2"/>
            <w:tcBorders>
              <w:top w:val="single" w:color="auto" w:sz="8" w:space="0"/>
              <w:left w:val="nil"/>
              <w:bottom w:val="single" w:color="auto" w:sz="4" w:space="0"/>
              <w:right w:val="single" w:color="000000" w:sz="8" w:space="0"/>
            </w:tcBorders>
            <w:shd w:val="clear" w:color="000000" w:fill="DDEBF7"/>
            <w:noWrap/>
            <w:vAlign w:val="center"/>
          </w:tcPr>
          <w:p w14:paraId="7A0ECD4A">
            <w:pPr>
              <w:jc w:val="center"/>
              <w:rPr>
                <w:rFonts w:ascii="等线" w:hAnsi="等线" w:eastAsia="等线"/>
                <w:b/>
                <w:bCs/>
                <w:color w:val="000000"/>
                <w:sz w:val="22"/>
                <w:szCs w:val="22"/>
              </w:rPr>
            </w:pPr>
            <w:r>
              <w:rPr>
                <w:rFonts w:hint="eastAsia" w:ascii="等线" w:hAnsi="等线" w:eastAsia="等线"/>
                <w:b/>
                <w:bCs/>
                <w:color w:val="000000"/>
                <w:sz w:val="22"/>
                <w:szCs w:val="22"/>
              </w:rPr>
              <w:t>智能手机</w:t>
            </w:r>
            <w:r>
              <w:rPr>
                <w:rFonts w:ascii="等线" w:hAnsi="等线" w:eastAsia="等线"/>
                <w:b/>
                <w:bCs/>
                <w:color w:val="000000"/>
                <w:sz w:val="22"/>
                <w:szCs w:val="22"/>
              </w:rPr>
              <w:t>/平板设备</w:t>
            </w:r>
          </w:p>
        </w:tc>
      </w:tr>
      <w:tr w14:paraId="2F98586D">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14:paraId="3DF2D991">
            <w:pPr>
              <w:jc w:val="center"/>
              <w:rPr>
                <w:rFonts w:ascii="等线" w:hAnsi="等线" w:eastAsia="等线"/>
                <w:color w:val="000000"/>
                <w:sz w:val="22"/>
                <w:szCs w:val="22"/>
              </w:rPr>
            </w:pPr>
            <w:r>
              <w:rPr>
                <w:rFonts w:hint="eastAsia" w:ascii="等线" w:hAnsi="等线" w:eastAsia="等线"/>
                <w:color w:val="000000"/>
                <w:sz w:val="22"/>
                <w:szCs w:val="22"/>
              </w:rPr>
              <w:t>操作系统</w:t>
            </w:r>
          </w:p>
        </w:tc>
        <w:tc>
          <w:tcPr>
            <w:tcW w:w="2231" w:type="dxa"/>
            <w:tcBorders>
              <w:top w:val="nil"/>
              <w:left w:val="nil"/>
              <w:bottom w:val="single" w:color="auto" w:sz="4" w:space="0"/>
              <w:right w:val="single" w:color="auto" w:sz="4" w:space="0"/>
            </w:tcBorders>
            <w:shd w:val="clear" w:color="auto" w:fill="auto"/>
            <w:noWrap/>
            <w:vAlign w:val="center"/>
          </w:tcPr>
          <w:p w14:paraId="289152F7">
            <w:pPr>
              <w:jc w:val="center"/>
              <w:rPr>
                <w:rFonts w:ascii="等线" w:hAnsi="等线" w:eastAsia="等线"/>
                <w:color w:val="000000"/>
                <w:sz w:val="22"/>
                <w:szCs w:val="22"/>
              </w:rPr>
            </w:pPr>
            <w:r>
              <w:rPr>
                <w:rFonts w:hint="eastAsia" w:ascii="等线" w:hAnsi="等线" w:eastAsia="等线"/>
                <w:color w:val="000000"/>
                <w:sz w:val="22"/>
                <w:szCs w:val="22"/>
              </w:rPr>
              <w:t>IOS</w:t>
            </w:r>
          </w:p>
        </w:tc>
        <w:tc>
          <w:tcPr>
            <w:tcW w:w="2301" w:type="dxa"/>
            <w:tcBorders>
              <w:top w:val="nil"/>
              <w:left w:val="nil"/>
              <w:bottom w:val="single" w:color="auto" w:sz="4" w:space="0"/>
              <w:right w:val="single" w:color="auto" w:sz="8" w:space="0"/>
            </w:tcBorders>
            <w:shd w:val="clear" w:color="auto" w:fill="auto"/>
            <w:noWrap/>
            <w:vAlign w:val="center"/>
          </w:tcPr>
          <w:p w14:paraId="6A28858D">
            <w:pPr>
              <w:jc w:val="center"/>
              <w:rPr>
                <w:rFonts w:ascii="等线" w:hAnsi="等线" w:eastAsia="等线"/>
                <w:color w:val="000000"/>
                <w:sz w:val="22"/>
                <w:szCs w:val="22"/>
              </w:rPr>
            </w:pPr>
            <w:r>
              <w:rPr>
                <w:rFonts w:hint="eastAsia" w:ascii="等线" w:hAnsi="等线" w:eastAsia="等线"/>
                <w:color w:val="000000"/>
                <w:sz w:val="22"/>
                <w:szCs w:val="22"/>
              </w:rPr>
              <w:t>Android</w:t>
            </w:r>
          </w:p>
        </w:tc>
      </w:tr>
      <w:tr w14:paraId="11EFBEA7">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14:paraId="02851E26">
            <w:pPr>
              <w:jc w:val="center"/>
              <w:rPr>
                <w:rFonts w:ascii="等线" w:hAnsi="等线" w:eastAsia="等线"/>
                <w:color w:val="000000"/>
                <w:sz w:val="22"/>
                <w:szCs w:val="22"/>
              </w:rPr>
            </w:pPr>
            <w:r>
              <w:rPr>
                <w:rFonts w:hint="eastAsia" w:ascii="等线" w:hAnsi="等线" w:eastAsia="等线"/>
                <w:color w:val="000000"/>
                <w:sz w:val="22"/>
                <w:szCs w:val="22"/>
              </w:rPr>
              <w:t>系统版本</w:t>
            </w:r>
          </w:p>
        </w:tc>
        <w:tc>
          <w:tcPr>
            <w:tcW w:w="2231" w:type="dxa"/>
            <w:tcBorders>
              <w:top w:val="nil"/>
              <w:left w:val="nil"/>
              <w:bottom w:val="single" w:color="auto" w:sz="4" w:space="0"/>
              <w:right w:val="single" w:color="auto" w:sz="4" w:space="0"/>
            </w:tcBorders>
            <w:shd w:val="clear" w:color="auto" w:fill="auto"/>
            <w:noWrap/>
            <w:vAlign w:val="center"/>
          </w:tcPr>
          <w:p w14:paraId="47E25565">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IOS 1</w:t>
            </w:r>
            <w:r>
              <w:rPr>
                <w:rFonts w:ascii="微软雅黑" w:hAnsi="微软雅黑" w:eastAsia="微软雅黑"/>
                <w:color w:val="000000"/>
                <w:sz w:val="20"/>
                <w:szCs w:val="20"/>
              </w:rPr>
              <w:t>1.0.2</w:t>
            </w:r>
            <w:r>
              <w:rPr>
                <w:rFonts w:hint="eastAsia" w:ascii="微软雅黑" w:hAnsi="微软雅黑" w:eastAsia="微软雅黑"/>
                <w:color w:val="000000"/>
                <w:sz w:val="20"/>
                <w:szCs w:val="20"/>
              </w:rPr>
              <w:t>+</w:t>
            </w:r>
          </w:p>
        </w:tc>
        <w:tc>
          <w:tcPr>
            <w:tcW w:w="2301" w:type="dxa"/>
            <w:tcBorders>
              <w:top w:val="nil"/>
              <w:left w:val="nil"/>
              <w:bottom w:val="single" w:color="auto" w:sz="4" w:space="0"/>
              <w:right w:val="single" w:color="auto" w:sz="8" w:space="0"/>
            </w:tcBorders>
            <w:shd w:val="clear" w:color="auto" w:fill="auto"/>
            <w:noWrap/>
            <w:vAlign w:val="center"/>
          </w:tcPr>
          <w:p w14:paraId="50F2E95F">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Android 10+</w:t>
            </w:r>
          </w:p>
        </w:tc>
      </w:tr>
      <w:tr w14:paraId="65527D69">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14:paraId="3571B7AE">
            <w:pPr>
              <w:jc w:val="center"/>
              <w:rPr>
                <w:rFonts w:ascii="等线" w:hAnsi="等线" w:eastAsia="等线"/>
                <w:color w:val="000000"/>
                <w:sz w:val="22"/>
                <w:szCs w:val="22"/>
              </w:rPr>
            </w:pPr>
            <w:r>
              <w:rPr>
                <w:rFonts w:hint="eastAsia" w:ascii="等线" w:hAnsi="等线" w:eastAsia="等线"/>
                <w:color w:val="000000"/>
                <w:sz w:val="22"/>
                <w:szCs w:val="22"/>
              </w:rPr>
              <w:t>浏览器</w:t>
            </w:r>
          </w:p>
        </w:tc>
        <w:tc>
          <w:tcPr>
            <w:tcW w:w="2231" w:type="dxa"/>
            <w:tcBorders>
              <w:top w:val="nil"/>
              <w:left w:val="nil"/>
              <w:bottom w:val="single" w:color="auto" w:sz="4" w:space="0"/>
              <w:right w:val="single" w:color="auto" w:sz="4" w:space="0"/>
            </w:tcBorders>
            <w:shd w:val="clear" w:color="auto" w:fill="auto"/>
            <w:noWrap/>
            <w:vAlign w:val="center"/>
          </w:tcPr>
          <w:p w14:paraId="66A04BBA">
            <w:pPr>
              <w:jc w:val="center"/>
              <w:rPr>
                <w:rFonts w:ascii="等线" w:hAnsi="等线" w:eastAsia="等线"/>
                <w:color w:val="000000"/>
                <w:sz w:val="22"/>
                <w:szCs w:val="22"/>
              </w:rPr>
            </w:pPr>
            <w:r>
              <w:rPr>
                <w:rFonts w:hint="eastAsia"/>
                <w:color w:val="000000"/>
                <w:sz w:val="22"/>
                <w:szCs w:val="22"/>
              </w:rPr>
              <w:t>　</w:t>
            </w:r>
            <w:r>
              <w:rPr>
                <w:rFonts w:ascii="微软雅黑" w:hAnsi="微软雅黑" w:eastAsia="微软雅黑"/>
                <w:color w:val="000000"/>
                <w:sz w:val="20"/>
                <w:szCs w:val="20"/>
              </w:rPr>
              <w:t xml:space="preserve">Safari 13+  </w:t>
            </w:r>
          </w:p>
        </w:tc>
        <w:tc>
          <w:tcPr>
            <w:tcW w:w="2301" w:type="dxa"/>
            <w:tcBorders>
              <w:top w:val="nil"/>
              <w:left w:val="nil"/>
              <w:bottom w:val="single" w:color="auto" w:sz="4" w:space="0"/>
              <w:right w:val="single" w:color="auto" w:sz="8" w:space="0"/>
            </w:tcBorders>
            <w:shd w:val="clear" w:color="auto" w:fill="auto"/>
            <w:noWrap/>
            <w:vAlign w:val="center"/>
          </w:tcPr>
          <w:p w14:paraId="2E85FD48">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 xml:space="preserve">Chrome </w:t>
            </w:r>
            <w:r>
              <w:rPr>
                <w:rFonts w:ascii="微软雅黑" w:hAnsi="微软雅黑" w:eastAsia="微软雅黑"/>
                <w:color w:val="000000"/>
                <w:sz w:val="20"/>
                <w:szCs w:val="20"/>
              </w:rPr>
              <w:t>70</w:t>
            </w:r>
            <w:r>
              <w:rPr>
                <w:rFonts w:hint="eastAsia" w:ascii="微软雅黑" w:hAnsi="微软雅黑" w:eastAsia="微软雅黑"/>
                <w:color w:val="000000"/>
                <w:sz w:val="20"/>
                <w:szCs w:val="20"/>
              </w:rPr>
              <w:t>+</w:t>
            </w:r>
          </w:p>
        </w:tc>
      </w:tr>
      <w:tr w14:paraId="34250722">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8" w:space="0"/>
              <w:right w:val="single" w:color="auto" w:sz="4" w:space="0"/>
            </w:tcBorders>
            <w:shd w:val="clear" w:color="auto" w:fill="auto"/>
            <w:noWrap/>
            <w:vAlign w:val="center"/>
          </w:tcPr>
          <w:p w14:paraId="28A1FF36">
            <w:pPr>
              <w:jc w:val="center"/>
              <w:rPr>
                <w:rFonts w:ascii="等线" w:hAnsi="等线" w:eastAsia="等线"/>
                <w:color w:val="000000"/>
                <w:sz w:val="22"/>
                <w:szCs w:val="22"/>
              </w:rPr>
            </w:pPr>
            <w:r>
              <w:rPr>
                <w:rFonts w:hint="eastAsia" w:ascii="等线" w:hAnsi="等线" w:eastAsia="等线"/>
                <w:color w:val="000000"/>
                <w:sz w:val="22"/>
                <w:szCs w:val="22"/>
              </w:rPr>
              <w:t>摄像头</w:t>
            </w:r>
          </w:p>
        </w:tc>
        <w:tc>
          <w:tcPr>
            <w:tcW w:w="2231" w:type="dxa"/>
            <w:tcBorders>
              <w:top w:val="nil"/>
              <w:left w:val="nil"/>
              <w:bottom w:val="single" w:color="auto" w:sz="8" w:space="0"/>
              <w:right w:val="single" w:color="auto" w:sz="4" w:space="0"/>
            </w:tcBorders>
            <w:shd w:val="clear" w:color="auto" w:fill="auto"/>
            <w:noWrap/>
            <w:vAlign w:val="center"/>
          </w:tcPr>
          <w:p w14:paraId="69C87AD4">
            <w:pPr>
              <w:jc w:val="center"/>
              <w:rPr>
                <w:rFonts w:ascii="等线" w:hAnsi="等线" w:eastAsia="等线"/>
                <w:color w:val="000000"/>
                <w:sz w:val="22"/>
                <w:szCs w:val="22"/>
              </w:rPr>
            </w:pPr>
            <w:r>
              <w:rPr>
                <w:rFonts w:hint="eastAsia" w:ascii="等线" w:hAnsi="等线" w:eastAsia="等线"/>
                <w:color w:val="000000"/>
                <w:sz w:val="22"/>
                <w:szCs w:val="22"/>
              </w:rPr>
              <w:t>有</w:t>
            </w:r>
          </w:p>
        </w:tc>
        <w:tc>
          <w:tcPr>
            <w:tcW w:w="2301" w:type="dxa"/>
            <w:tcBorders>
              <w:top w:val="nil"/>
              <w:left w:val="nil"/>
              <w:bottom w:val="single" w:color="auto" w:sz="8" w:space="0"/>
              <w:right w:val="single" w:color="auto" w:sz="8" w:space="0"/>
            </w:tcBorders>
            <w:shd w:val="clear" w:color="auto" w:fill="auto"/>
            <w:noWrap/>
            <w:vAlign w:val="center"/>
          </w:tcPr>
          <w:p w14:paraId="4B1D0A68">
            <w:pPr>
              <w:jc w:val="center"/>
              <w:rPr>
                <w:rFonts w:ascii="等线" w:hAnsi="等线" w:eastAsia="等线"/>
                <w:color w:val="000000"/>
                <w:sz w:val="22"/>
                <w:szCs w:val="22"/>
              </w:rPr>
            </w:pPr>
            <w:r>
              <w:rPr>
                <w:rFonts w:hint="eastAsia" w:ascii="等线" w:hAnsi="等线" w:eastAsia="等线"/>
                <w:color w:val="000000"/>
                <w:sz w:val="22"/>
                <w:szCs w:val="22"/>
              </w:rPr>
              <w:t>有</w:t>
            </w:r>
          </w:p>
        </w:tc>
      </w:tr>
    </w:tbl>
    <w:p w14:paraId="1710DD06">
      <w:pPr>
        <w:shd w:val="clear" w:color="auto" w:fill="FCFCFC"/>
        <w:snapToGrid w:val="0"/>
        <w:spacing w:line="360" w:lineRule="auto"/>
        <w:ind w:firstLine="1156" w:firstLineChars="550"/>
        <w:rPr>
          <w:rFonts w:ascii="微软雅黑" w:hAnsi="微软雅黑" w:eastAsia="微软雅黑" w:cs="等线"/>
          <w:b/>
          <w:color w:val="000000" w:themeColor="text1"/>
          <w:sz w:val="21"/>
          <w:szCs w:val="21"/>
          <w:highlight w:val="yellow"/>
          <w14:textFill>
            <w14:solidFill>
              <w14:schemeClr w14:val="tx1"/>
            </w14:solidFill>
          </w14:textFill>
        </w:rPr>
      </w:pPr>
      <w:r>
        <w:rPr>
          <w:rFonts w:hint="eastAsia" w:ascii="微软雅黑" w:hAnsi="微软雅黑" w:eastAsia="微软雅黑" w:cs="等线"/>
          <w:b/>
          <w:color w:val="000000" w:themeColor="text1"/>
          <w:sz w:val="21"/>
          <w:szCs w:val="21"/>
          <w:highlight w:val="yellow"/>
          <w14:textFill>
            <w14:solidFill>
              <w14:schemeClr w14:val="tx1"/>
            </w14:solidFill>
          </w14:textFill>
        </w:rPr>
        <w:t>特别提醒：</w:t>
      </w:r>
    </w:p>
    <w:p w14:paraId="1DC37261">
      <w:pPr>
        <w:pStyle w:val="19"/>
        <w:numPr>
          <w:ilvl w:val="0"/>
          <w:numId w:val="4"/>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强烈建议考生使用推荐的浏览器登录监控；如考生自行选用其他浏览器导致监控效果不佳，由考生自行承担后果。</w:t>
      </w:r>
    </w:p>
    <w:p w14:paraId="6E07BB04">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r>
        <w:rPr>
          <w:rFonts w:ascii="微软雅黑" w:hAnsi="微软雅黑" w:eastAsia="微软雅黑" w:cs="等线"/>
          <w:color w:val="000000" w:themeColor="text1"/>
          <w:sz w:val="21"/>
          <w:szCs w:val="21"/>
          <w14:textFill>
            <w14:solidFill>
              <w14:schemeClr w14:val="tx1"/>
            </w14:solidFill>
          </w14:textFill>
        </w:rPr>
        <w:t>。</w:t>
      </w:r>
    </w:p>
    <w:p w14:paraId="399E891B">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确保监考用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p>
    <w:p w14:paraId="11FEA601">
      <w:pPr>
        <w:pStyle w:val="19"/>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开启鹰眼监控</w:t>
      </w:r>
      <w:r>
        <w:rPr>
          <w:rFonts w:ascii="微软雅黑" w:hAnsi="微软雅黑" w:eastAsia="微软雅黑" w:cs="等线"/>
          <w:color w:val="000000" w:themeColor="text1"/>
          <w:sz w:val="21"/>
          <w:szCs w:val="21"/>
          <w14:textFill>
            <w14:solidFill>
              <w14:schemeClr w14:val="tx1"/>
            </w14:solidFill>
          </w14:textFill>
        </w:rPr>
        <w:t>前应关掉</w:t>
      </w:r>
      <w:r>
        <w:rPr>
          <w:rFonts w:hint="eastAsia" w:ascii="微软雅黑" w:hAnsi="微软雅黑" w:eastAsia="微软雅黑" w:cs="等线"/>
          <w:color w:val="000000" w:themeColor="text1"/>
          <w:sz w:val="21"/>
          <w:szCs w:val="21"/>
          <w14:textFill>
            <w14:solidFill>
              <w14:schemeClr w14:val="tx1"/>
            </w14:solidFill>
          </w14:textFill>
        </w:rPr>
        <w:t>与考试</w:t>
      </w:r>
      <w:r>
        <w:rPr>
          <w:rFonts w:ascii="微软雅黑" w:hAnsi="微软雅黑" w:eastAsia="微软雅黑" w:cs="等线"/>
          <w:color w:val="000000" w:themeColor="text1"/>
          <w:sz w:val="21"/>
          <w:szCs w:val="21"/>
          <w14:textFill>
            <w14:solidFill>
              <w14:schemeClr w14:val="tx1"/>
            </w14:solidFill>
          </w14:textFill>
        </w:rPr>
        <w:t>无关应用</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提醒功能，避免来电、微信、或其他应用打断</w:t>
      </w:r>
      <w:r>
        <w:rPr>
          <w:rFonts w:hint="eastAsia" w:ascii="微软雅黑" w:hAnsi="微软雅黑" w:eastAsia="微软雅黑" w:cs="等线"/>
          <w:color w:val="000000" w:themeColor="text1"/>
          <w:sz w:val="21"/>
          <w:szCs w:val="21"/>
          <w14:textFill>
            <w14:solidFill>
              <w14:schemeClr w14:val="tx1"/>
            </w14:solidFill>
          </w14:textFill>
        </w:rPr>
        <w:t>监控</w:t>
      </w:r>
      <w:r>
        <w:rPr>
          <w:rFonts w:ascii="微软雅黑" w:hAnsi="微软雅黑" w:eastAsia="微软雅黑" w:cs="等线"/>
          <w:color w:val="000000" w:themeColor="text1"/>
          <w:sz w:val="21"/>
          <w:szCs w:val="21"/>
          <w14:textFill>
            <w14:solidFill>
              <w14:schemeClr w14:val="tx1"/>
            </w14:solidFill>
          </w14:textFill>
        </w:rPr>
        <w:t>过</w:t>
      </w:r>
      <w:r>
        <w:rPr>
          <w:rFonts w:ascii="微软雅黑" w:hAnsi="微软雅黑" w:eastAsia="微软雅黑"/>
          <w:color w:val="000000" w:themeColor="text1"/>
          <w:sz w:val="21"/>
          <w:szCs w:val="21"/>
          <w14:textFill>
            <w14:solidFill>
              <w14:schemeClr w14:val="tx1"/>
            </w14:solidFill>
          </w14:textFill>
        </w:rPr>
        <w:t>程。</w:t>
      </w:r>
    </w:p>
    <w:p w14:paraId="0F637A99">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网络条件要求</w:t>
      </w:r>
    </w:p>
    <w:p w14:paraId="71333BFE">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p>
    <w:p w14:paraId="559171FD">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p>
    <w:p w14:paraId="47CED458">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14:paraId="64B52136">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w:t>
      </w:r>
    </w:p>
    <w:p w14:paraId="13C80E61">
      <w:pPr>
        <w:shd w:val="clear" w:color="auto" w:fill="FCFCFC"/>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color w:val="000000" w:themeColor="text1"/>
          <w:sz w:val="21"/>
          <w:szCs w:val="21"/>
          <w14:textFill>
            <w14:solidFill>
              <w14:schemeClr w14:val="tx1"/>
            </w14:solidFill>
          </w14:textFill>
        </w:rPr>
        <w:t>特别提醒：</w:t>
      </w:r>
      <w:r>
        <w:rPr>
          <w:rFonts w:ascii="微软雅黑" w:hAnsi="微软雅黑" w:eastAsia="微软雅黑" w:cs="等线"/>
          <w:color w:val="000000" w:themeColor="text1"/>
          <w:sz w:val="21"/>
          <w:szCs w:val="21"/>
          <w14:textFill>
            <w14:solidFill>
              <w14:schemeClr w14:val="tx1"/>
            </w14:solidFill>
          </w14:textFill>
        </w:rPr>
        <w:t>考试期间</w:t>
      </w:r>
      <w:r>
        <w:rPr>
          <w:rFonts w:hint="eastAsia" w:ascii="微软雅黑" w:hAnsi="微软雅黑" w:eastAsia="微软雅黑" w:cs="等线"/>
          <w:color w:val="000000" w:themeColor="text1"/>
          <w:sz w:val="21"/>
          <w:szCs w:val="21"/>
          <w14:textFill>
            <w14:solidFill>
              <w14:schemeClr w14:val="tx1"/>
            </w14:solidFill>
          </w14:textFill>
        </w:rPr>
        <w:t>如发生考</w:t>
      </w:r>
      <w:r>
        <w:rPr>
          <w:rFonts w:ascii="微软雅黑" w:hAnsi="微软雅黑" w:eastAsia="微软雅黑" w:cs="等线"/>
          <w:color w:val="000000" w:themeColor="text1"/>
          <w:sz w:val="21"/>
          <w:szCs w:val="21"/>
          <w14:textFill>
            <w14:solidFill>
              <w14:schemeClr w14:val="tx1"/>
            </w14:solidFill>
          </w14:textFill>
        </w:rPr>
        <w:t>网络故障</w:t>
      </w:r>
      <w:r>
        <w:rPr>
          <w:rFonts w:hint="eastAsia" w:ascii="微软雅黑" w:hAnsi="微软雅黑" w:eastAsia="微软雅黑" w:cs="等线"/>
          <w:color w:val="000000" w:themeColor="text1"/>
          <w:sz w:val="21"/>
          <w:szCs w:val="21"/>
          <w14:textFill>
            <w14:solidFill>
              <w14:schemeClr w14:val="tx1"/>
            </w14:solidFill>
          </w14:textFill>
        </w:rPr>
        <w:t>，考试系统会即时提醒考生，请考生在看到异常提示后迅速修复网络故障。故障解决后，考生可重新进入考试继续作答，网络故障发生之前的作答结果会保存；但是，由于考试设备或网络故障导致考试时间的损失、或</w:t>
      </w:r>
      <w:r>
        <w:rPr>
          <w:rFonts w:ascii="微软雅黑" w:hAnsi="微软雅黑" w:eastAsia="微软雅黑" w:cs="等线"/>
          <w:color w:val="000000" w:themeColor="text1"/>
          <w:sz w:val="21"/>
          <w:szCs w:val="21"/>
          <w14:textFill>
            <w14:solidFill>
              <w14:schemeClr w14:val="tx1"/>
            </w14:solidFill>
          </w14:textFill>
        </w:rPr>
        <w:t>无法完成考试</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将不会获得补时或补考的机会。</w:t>
      </w:r>
    </w:p>
    <w:p w14:paraId="7CDC5914">
      <w:pPr>
        <w:shd w:val="clear" w:color="auto" w:fill="FCFCFC"/>
        <w:snapToGrid w:val="0"/>
        <w:spacing w:line="360" w:lineRule="auto"/>
        <w:rPr>
          <w:rFonts w:ascii="微软雅黑" w:hAnsi="微软雅黑" w:eastAsia="微软雅黑" w:cs="等线"/>
          <w:color w:val="000000" w:themeColor="text1"/>
          <w:sz w:val="21"/>
          <w:szCs w:val="21"/>
          <w14:textFill>
            <w14:solidFill>
              <w14:schemeClr w14:val="tx1"/>
            </w14:solidFill>
          </w14:textFill>
        </w:rPr>
      </w:pPr>
    </w:p>
    <w:p w14:paraId="2C525D29">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易考客户端下载、安装和调试</w:t>
      </w:r>
    </w:p>
    <w:p w14:paraId="6ECCC256">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易考客户端安装</w:t>
      </w:r>
    </w:p>
    <w:p w14:paraId="40485248">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使用在线考试设备，在浏览器中打开考试链接，会直接进入客户端的下载页面。</w:t>
      </w:r>
    </w:p>
    <w:p w14:paraId="31896382">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请考生根据自己考试设备的操作系统类型下载对应的客户端安装包（Windows版或Mac版），下载界面如下图1所示。</w:t>
      </w:r>
    </w:p>
    <w:p w14:paraId="7EBB3369">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152775" cy="2032000"/>
            <wp:effectExtent l="0" t="0" r="0" b="6350"/>
            <wp:docPr id="8" name="图片 8" descr="C:\Users\ZHOUYU~1\AppData\Local\Temp\1591340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51748" cy="2031619"/>
                    </a:xfrm>
                    <a:prstGeom prst="rect">
                      <a:avLst/>
                    </a:prstGeom>
                    <a:noFill/>
                    <a:ln>
                      <a:noFill/>
                    </a:ln>
                  </pic:spPr>
                </pic:pic>
              </a:graphicData>
            </a:graphic>
          </wp:inline>
        </w:drawing>
      </w:r>
    </w:p>
    <w:p w14:paraId="6EB04465">
      <w:pPr>
        <w:pStyle w:val="19"/>
        <w:snapToGrid w:val="0"/>
        <w:spacing w:line="360" w:lineRule="auto"/>
        <w:ind w:left="360"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14:paraId="7B3CBD44">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易考客户端适用于</w:t>
      </w:r>
      <w:r>
        <w:rPr>
          <w:rFonts w:hint="eastAsia" w:ascii="微软雅黑" w:hAnsi="微软雅黑" w:eastAsia="微软雅黑" w:cs="等线"/>
          <w:b/>
          <w:bCs/>
          <w:color w:val="000000" w:themeColor="text1"/>
          <w:sz w:val="21"/>
          <w:szCs w:val="21"/>
          <w14:textFill>
            <w14:solidFill>
              <w14:schemeClr w14:val="tx1"/>
            </w14:solidFill>
          </w14:textFill>
        </w:rPr>
        <w:t>Windows（推荐W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10</w:t>
      </w:r>
      <w:r>
        <w:rPr>
          <w:rFonts w:hint="eastAsia" w:ascii="微软雅黑" w:hAnsi="微软雅黑" w:eastAsia="微软雅黑" w:cs="等线"/>
          <w:b/>
          <w:bCs/>
          <w:color w:val="000000" w:themeColor="text1"/>
          <w:sz w:val="21"/>
          <w:szCs w:val="21"/>
          <w14:textFill>
            <w14:solidFill>
              <w14:schemeClr w14:val="tx1"/>
            </w14:solidFill>
          </w14:textFill>
        </w:rPr>
        <w:t>）或</w:t>
      </w:r>
      <w:r>
        <w:rPr>
          <w:rFonts w:hint="eastAsia" w:ascii="微软雅黑" w:hAnsi="微软雅黑" w:eastAsia="微软雅黑" w:cs="等线"/>
          <w:color w:val="000000" w:themeColor="text1"/>
          <w:sz w:val="21"/>
          <w:szCs w:val="21"/>
          <w14:textFill>
            <w14:solidFill>
              <w14:schemeClr w14:val="tx1"/>
            </w14:solidFill>
          </w14:textFill>
        </w:rPr>
        <w:t>Mac</w:t>
      </w:r>
      <w:r>
        <w:rPr>
          <w:rFonts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b/>
          <w:bCs/>
          <w:color w:val="000000" w:themeColor="text1"/>
          <w:sz w:val="21"/>
          <w:szCs w:val="21"/>
          <w14:textFill>
            <w14:solidFill>
              <w14:schemeClr w14:val="tx1"/>
            </w14:solidFill>
          </w14:textFill>
        </w:rPr>
        <w:t>OS（10.</w:t>
      </w:r>
      <w:r>
        <w:rPr>
          <w:rFonts w:ascii="微软雅黑" w:hAnsi="微软雅黑" w:eastAsia="微软雅黑" w:cs="等线"/>
          <w:b/>
          <w:bCs/>
          <w:color w:val="000000" w:themeColor="text1"/>
          <w:sz w:val="21"/>
          <w:szCs w:val="21"/>
          <w14:textFill>
            <w14:solidFill>
              <w14:schemeClr w14:val="tx1"/>
            </w14:solidFill>
          </w14:textFill>
        </w:rPr>
        <w:t>15</w:t>
      </w:r>
      <w:r>
        <w:rPr>
          <w:rFonts w:hint="eastAsia" w:ascii="微软雅黑" w:hAnsi="微软雅黑" w:eastAsia="微软雅黑" w:cs="等线"/>
          <w:b/>
          <w:bCs/>
          <w:color w:val="000000" w:themeColor="text1"/>
          <w:sz w:val="21"/>
          <w:szCs w:val="21"/>
          <w14:textFill>
            <w14:solidFill>
              <w14:schemeClr w14:val="tx1"/>
            </w14:solidFill>
          </w14:textFill>
        </w:rPr>
        <w:t>.</w:t>
      </w:r>
      <w:r>
        <w:rPr>
          <w:rFonts w:ascii="微软雅黑" w:hAnsi="微软雅黑" w:eastAsia="微软雅黑" w:cs="等线"/>
          <w:b/>
          <w:bCs/>
          <w:color w:val="000000" w:themeColor="text1"/>
          <w:sz w:val="21"/>
          <w:szCs w:val="21"/>
          <w14:textFill>
            <w14:solidFill>
              <w14:schemeClr w14:val="tx1"/>
            </w14:solidFill>
          </w14:textFill>
        </w:rPr>
        <w:t>7</w:t>
      </w:r>
      <w:r>
        <w:rPr>
          <w:rFonts w:hint="eastAsia"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操作系统。</w:t>
      </w:r>
    </w:p>
    <w:p w14:paraId="6435CD2A">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为例，双击安装包即可安装易考客户端</w:t>
      </w:r>
      <w:r>
        <w:rPr>
          <w:rFonts w:hint="eastAsia" w:ascii="微软雅黑" w:hAnsi="微软雅黑" w:eastAsia="微软雅黑" w:cs="等线"/>
          <w:color w:val="000000" w:themeColor="text1"/>
          <w:sz w:val="21"/>
          <w:szCs w:val="21"/>
          <w14:textFill>
            <w14:solidFill>
              <w14:schemeClr w14:val="tx1"/>
            </w14:solidFill>
          </w14:textFill>
        </w:rPr>
        <w:t>，如下图2所示。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755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14:paraId="7F0CC103">
            <w:pPr>
              <w:pStyle w:val="19"/>
              <w:widowControl/>
              <w:snapToGrid w:val="0"/>
              <w:spacing w:line="360" w:lineRule="auto"/>
              <w:ind w:firstLine="0" w:firstLineChars="0"/>
              <w:jc w:val="left"/>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026920" cy="560705"/>
                  <wp:effectExtent l="0" t="0" r="0" b="0"/>
                  <wp:docPr id="37" name="图片 37" descr="C:\Users\ZHOUYU~1\AppData\Local\Temp\WeChat Files\893cc646b826fe10063ebd9d076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ZHOUYU~1\AppData\Local\Temp\WeChat Files\893cc646b826fe10063ebd9d076122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33312" cy="562927"/>
                          </a:xfrm>
                          <a:prstGeom prst="rect">
                            <a:avLst/>
                          </a:prstGeom>
                          <a:noFill/>
                          <a:ln>
                            <a:noFill/>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bidi="zh-CN"/>
              </w:rPr>
              <w:t xml:space="preserve"> </w:t>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3019425" cy="2317750"/>
                  <wp:effectExtent l="0" t="0" r="0" b="635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020948" cy="2319469"/>
                          </a:xfrm>
                          <a:prstGeom prst="rect">
                            <a:avLst/>
                          </a:prstGeom>
                          <a:noFill/>
                          <a:ln>
                            <a:noFill/>
                          </a:ln>
                        </pic:spPr>
                      </pic:pic>
                    </a:graphicData>
                  </a:graphic>
                </wp:inline>
              </w:drawing>
            </w:r>
          </w:p>
        </w:tc>
      </w:tr>
    </w:tbl>
    <w:p w14:paraId="1548E48E">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p>
    <w:p w14:paraId="3B928DD4">
      <w:pP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br w:type="page"/>
      </w:r>
    </w:p>
    <w:p w14:paraId="2874D894">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安装客户端。安装完成后，桌面上将会显示“eztest”图标，如下图3所示。</w:t>
      </w:r>
    </w:p>
    <w:tbl>
      <w:tblPr>
        <w:tblStyle w:val="12"/>
        <w:tblW w:w="6333" w:type="dxa"/>
        <w:tblInd w:w="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3"/>
      </w:tblGrid>
      <w:tr w14:paraId="6F459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2" w:hRule="atLeast"/>
        </w:trPr>
        <w:tc>
          <w:tcPr>
            <w:tcW w:w="6333" w:type="dxa"/>
            <w:tcBorders>
              <w:top w:val="dashSmallGap" w:color="auto" w:sz="4" w:space="0"/>
              <w:left w:val="dashSmallGap" w:color="auto" w:sz="4" w:space="0"/>
              <w:bottom w:val="dashSmallGap" w:color="auto" w:sz="4" w:space="0"/>
              <w:right w:val="dashSmallGap" w:color="auto" w:sz="4" w:space="0"/>
            </w:tcBorders>
          </w:tcPr>
          <w:p w14:paraId="5848788D">
            <w:pPr>
              <w:pStyle w:val="19"/>
              <w:widowControl/>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820670" cy="2165350"/>
                  <wp:effectExtent l="0" t="0" r="0" b="635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21870" cy="2166721"/>
                          </a:xfrm>
                          <a:prstGeom prst="rect">
                            <a:avLst/>
                          </a:prstGeom>
                          <a:noFill/>
                          <a:ln>
                            <a:noFill/>
                          </a:ln>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859155" cy="770255"/>
                  <wp:effectExtent l="0" t="0" r="4445" b="444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14:paraId="5ACBA29F">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（图3）</w:t>
      </w:r>
    </w:p>
    <w:p w14:paraId="512A9816">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14:paraId="6A19542A">
      <w:pPr>
        <w:pStyle w:val="19"/>
        <w:numPr>
          <w:ilvl w:val="0"/>
          <w:numId w:val="7"/>
        </w:numPr>
        <w:snapToGrid w:val="0"/>
        <w:spacing w:line="360" w:lineRule="auto"/>
        <w:ind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w:t>
      </w:r>
      <w:bookmarkStart w:id="3" w:name="_GoBack"/>
      <w:bookmarkEnd w:id="3"/>
      <w:r>
        <w:rPr>
          <w:rFonts w:hint="eastAsia" w:ascii="微软雅黑" w:hAnsi="微软雅黑" w:eastAsia="微软雅黑" w:cs="等线"/>
          <w:color w:val="000000" w:themeColor="text1"/>
          <w:sz w:val="21"/>
          <w:szCs w:val="21"/>
          <w14:textFill>
            <w14:solidFill>
              <w14:schemeClr w14:val="tx1"/>
            </w14:solidFill>
          </w14:textFill>
        </w:rPr>
        <w:t>的口令（如下图4所示）。</w:t>
      </w:r>
    </w:p>
    <w:p w14:paraId="68BEB6BB">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3495675" cy="2534285"/>
            <wp:effectExtent l="0" t="0" r="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567180" cy="2586389"/>
                    </a:xfrm>
                    <a:prstGeom prst="rect">
                      <a:avLst/>
                    </a:prstGeom>
                  </pic:spPr>
                </pic:pic>
              </a:graphicData>
            </a:graphic>
          </wp:inline>
        </w:drawing>
      </w:r>
    </w:p>
    <w:p w14:paraId="77751E37">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（图4）</w:t>
      </w:r>
    </w:p>
    <w:p w14:paraId="63150E9A">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p>
    <w:p w14:paraId="45D574A9">
      <w:pP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br w:type="page"/>
      </w:r>
    </w:p>
    <w:p w14:paraId="39DE1611">
      <w:pPr>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点击“调试</w:t>
      </w:r>
      <w:r>
        <w:rPr>
          <w:rFonts w:hint="eastAsia" w:ascii="微软雅黑" w:hAnsi="微软雅黑" w:eastAsia="微软雅黑"/>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”测试本机摄像头是否可用</w:t>
      </w:r>
      <w:r>
        <w:rPr>
          <w:rFonts w:hint="eastAsia" w:ascii="微软雅黑" w:hAnsi="微软雅黑" w:eastAsia="微软雅黑"/>
          <w:color w:val="000000" w:themeColor="text1"/>
          <w:sz w:val="21"/>
          <w:szCs w:val="21"/>
          <w14:textFill>
            <w14:solidFill>
              <w14:schemeClr w14:val="tx1"/>
            </w14:solidFill>
          </w14:textFill>
        </w:rPr>
        <w:t>。如你能清晰地看到摄像头图像，说明摄像头调用正常，</w:t>
      </w:r>
      <w:r>
        <w:rPr>
          <w:rFonts w:ascii="微软雅黑" w:hAnsi="微软雅黑" w:eastAsia="微软雅黑"/>
          <w:color w:val="000000" w:themeColor="text1"/>
          <w:sz w:val="21"/>
          <w:szCs w:val="21"/>
          <w14:textFill>
            <w14:solidFill>
              <w14:schemeClr w14:val="tx1"/>
            </w14:solidFill>
          </w14:textFill>
        </w:rPr>
        <w:t>即可登录考试</w:t>
      </w:r>
      <w:r>
        <w:rPr>
          <w:rFonts w:hint="eastAsia" w:ascii="微软雅黑" w:hAnsi="微软雅黑" w:eastAsia="微软雅黑"/>
          <w:color w:val="000000" w:themeColor="text1"/>
          <w:sz w:val="21"/>
          <w:szCs w:val="21"/>
          <w14:textFill>
            <w14:solidFill>
              <w14:schemeClr w14:val="tx1"/>
            </w14:solidFill>
          </w14:textFill>
        </w:rPr>
        <w:t>（如下图5、图6所示）。</w:t>
      </w:r>
    </w:p>
    <w:p w14:paraId="18016823">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114300" distR="114300">
            <wp:extent cx="3752850" cy="219519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14:paraId="0904D804">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（图5）</w:t>
      </w:r>
    </w:p>
    <w:p w14:paraId="39088AD5">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38550" cy="1938020"/>
            <wp:effectExtent l="0" t="0" r="0" b="5080"/>
            <wp:docPr id="43" name="图片 43"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42686" cy="1940465"/>
                    </a:xfrm>
                    <a:prstGeom prst="rect">
                      <a:avLst/>
                    </a:prstGeom>
                    <a:noFill/>
                    <a:ln>
                      <a:noFill/>
                    </a:ln>
                  </pic:spPr>
                </pic:pic>
              </a:graphicData>
            </a:graphic>
          </wp:inline>
        </w:drawing>
      </w:r>
    </w:p>
    <w:p w14:paraId="17C2D743">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仅开启视频监控时，只需调试摄像头。</w:t>
      </w:r>
    </w:p>
    <w:p w14:paraId="28C8DC90">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95700" cy="2012950"/>
            <wp:effectExtent l="0" t="0" r="0" b="6350"/>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14:paraId="3CC25522">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如考试要求同时开启音频、视频监控，需同时调试摄像头与麦克风。</w:t>
      </w:r>
    </w:p>
    <w:p w14:paraId="0648C482">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（图6）</w:t>
      </w:r>
    </w:p>
    <w:p w14:paraId="2E19182C">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p>
    <w:p w14:paraId="30A769D2">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易考在线考试流程</w:t>
      </w:r>
    </w:p>
    <w:p w14:paraId="219378C7">
      <w:pPr>
        <w:pStyle w:val="3"/>
        <w:numPr>
          <w:ilvl w:val="0"/>
          <w:numId w:val="8"/>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易考客户端登录</w:t>
      </w:r>
    </w:p>
    <w:p w14:paraId="318D3BD1">
      <w:pPr>
        <w:pStyle w:val="19"/>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”程序，在易考客户端界面输入考试对应的口令</w:t>
      </w:r>
    </w:p>
    <w:p w14:paraId="123C8C62">
      <w:pPr>
        <w:pStyle w:val="19"/>
        <w:snapToGrid w:val="0"/>
        <w:spacing w:line="360" w:lineRule="auto"/>
        <w:ind w:left="84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正式考试与模拟考试的口令不同，请考生注意查看主办方通知。</w:t>
      </w:r>
    </w:p>
    <w:p w14:paraId="37E23BB5">
      <w:pPr>
        <w:pStyle w:val="19"/>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输入准考证号登录</w:t>
      </w:r>
      <w:r>
        <w:rPr>
          <w:rFonts w:hint="eastAsia" w:ascii="微软雅黑" w:hAnsi="微软雅黑" w:eastAsia="微软雅黑"/>
          <w:color w:val="000000" w:themeColor="text1"/>
          <w:sz w:val="21"/>
          <w:szCs w:val="21"/>
          <w14:textFill>
            <w14:solidFill>
              <w14:schemeClr w14:val="tx1"/>
            </w14:solidFill>
          </w14:textFill>
        </w:rPr>
        <w:t>（如下图7所示）</w:t>
      </w:r>
      <w:r>
        <w:rPr>
          <w:rFonts w:ascii="微软雅黑" w:hAnsi="微软雅黑" w:eastAsia="微软雅黑"/>
          <w:color w:val="000000" w:themeColor="text1"/>
          <w:sz w:val="21"/>
          <w:szCs w:val="21"/>
          <w14:textFill>
            <w14:solidFill>
              <w14:schemeClr w14:val="tx1"/>
            </w14:solidFill>
          </w14:textFill>
        </w:rPr>
        <w:t>。</w:t>
      </w:r>
    </w:p>
    <w:p w14:paraId="7D1959C1">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381375" cy="2185670"/>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14:paraId="50953A7F">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（图7）</w:t>
      </w:r>
    </w:p>
    <w:p w14:paraId="07F1FDDF">
      <w:pPr>
        <w:snapToGrid w:val="0"/>
        <w:spacing w:line="360" w:lineRule="auto"/>
        <w:ind w:left="720" w:leftChars="30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14:paraId="69A4FE6B">
      <w:pPr>
        <w:pStyle w:val="3"/>
        <w:numPr>
          <w:ilvl w:val="0"/>
          <w:numId w:val="10"/>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14:paraId="79C147BA">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完成登录后，考生</w:t>
      </w:r>
      <w:r>
        <w:rPr>
          <w:rFonts w:ascii="微软雅黑" w:hAnsi="微软雅黑" w:eastAsia="微软雅黑"/>
          <w:color w:val="000000" w:themeColor="text1"/>
          <w:sz w:val="21"/>
          <w:szCs w:val="21"/>
          <w14:textFill>
            <w14:solidFill>
              <w14:schemeClr w14:val="tx1"/>
            </w14:solidFill>
          </w14:textFill>
        </w:rPr>
        <w:t>确认自己的基本信息</w:t>
      </w:r>
      <w:r>
        <w:rPr>
          <w:rFonts w:hint="eastAsia" w:ascii="微软雅黑" w:hAnsi="微软雅黑" w:eastAsia="微软雅黑"/>
          <w:color w:val="000000" w:themeColor="text1"/>
          <w:sz w:val="21"/>
          <w:szCs w:val="21"/>
          <w14:textFill>
            <w14:solidFill>
              <w14:schemeClr w14:val="tx1"/>
            </w14:solidFill>
          </w14:textFill>
        </w:rPr>
        <w:t>（根据实际考试基本信息为准，下图仅为样图），点击</w:t>
      </w:r>
      <w:r>
        <w:rPr>
          <w:rFonts w:hint="eastAsia" w:ascii="微软雅黑" w:hAnsi="微软雅黑" w:eastAsia="微软雅黑"/>
          <w:b/>
          <w:bCs/>
          <w:color w:val="000000" w:themeColor="text1"/>
          <w:sz w:val="21"/>
          <w:szCs w:val="21"/>
          <w14:textFill>
            <w14:solidFill>
              <w14:schemeClr w14:val="tx1"/>
            </w14:solidFill>
          </w14:textFill>
        </w:rPr>
        <w:t>确定</w:t>
      </w:r>
      <w:r>
        <w:rPr>
          <w:rFonts w:hint="eastAsia" w:ascii="微软雅黑" w:hAnsi="微软雅黑" w:eastAsia="微软雅黑"/>
          <w:color w:val="000000" w:themeColor="text1"/>
          <w:sz w:val="21"/>
          <w:szCs w:val="21"/>
          <w14:textFill>
            <w14:solidFill>
              <w14:schemeClr w14:val="tx1"/>
            </w14:solidFill>
          </w14:textFill>
        </w:rPr>
        <w:t>按钮继续（如下图8所示）；</w:t>
      </w:r>
    </w:p>
    <w:p w14:paraId="06E9AA40">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381885" cy="2619375"/>
            <wp:effectExtent l="0" t="0" r="0" b="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12788" cy="2652952"/>
                    </a:xfrm>
                    <a:prstGeom prst="rect">
                      <a:avLst/>
                    </a:prstGeom>
                    <a:noFill/>
                    <a:ln>
                      <a:noFill/>
                    </a:ln>
                  </pic:spPr>
                </pic:pic>
              </a:graphicData>
            </a:graphic>
          </wp:inline>
        </w:drawing>
      </w:r>
    </w:p>
    <w:p w14:paraId="4D352082">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（图8）</w:t>
      </w:r>
    </w:p>
    <w:p w14:paraId="0A2CEB1B">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核对报名照后，点击“进入考试”按钮（如下图9所示）；</w:t>
      </w:r>
    </w:p>
    <w:p w14:paraId="7844100B">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Times New Roman" w:hAnsi="Times New Roman" w:eastAsia="Times New Roman" w:cs="Times New Roman"/>
          <w:snapToGrid w:val="0"/>
          <w:color w:val="000000"/>
          <w:w w:val="0"/>
          <w:sz w:val="0"/>
          <w:szCs w:val="0"/>
          <w:u w:color="000000"/>
          <w:shd w:val="clear" w:color="000000" w:fill="000000"/>
          <w:lang w:val="zh-CN" w:bidi="zh-CN"/>
        </w:rPr>
        <w:t xml:space="preserve"> </w:t>
      </w:r>
      <w:r>
        <w:rPr>
          <w:rFonts w:ascii="微软雅黑" w:hAnsi="微软雅黑" w:eastAsia="微软雅黑"/>
          <w:color w:val="000000" w:themeColor="text1"/>
          <w:sz w:val="21"/>
          <w:szCs w:val="21"/>
          <w14:textFill>
            <w14:solidFill>
              <w14:schemeClr w14:val="tx1"/>
            </w14:solidFill>
          </w14:textFill>
        </w:rPr>
        <w:drawing>
          <wp:inline distT="0" distB="0" distL="0" distR="0">
            <wp:extent cx="3784600" cy="2790825"/>
            <wp:effectExtent l="0" t="0" r="6350" b="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95157" cy="2798150"/>
                    </a:xfrm>
                    <a:prstGeom prst="rect">
                      <a:avLst/>
                    </a:prstGeom>
                    <a:noFill/>
                    <a:ln>
                      <a:noFill/>
                    </a:ln>
                  </pic:spPr>
                </pic:pic>
              </a:graphicData>
            </a:graphic>
          </wp:inline>
        </w:drawing>
      </w:r>
    </w:p>
    <w:p w14:paraId="662880C3">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（图9）</w:t>
      </w:r>
    </w:p>
    <w:p w14:paraId="3AE0A1F7">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应包括考生完整的面部和肩部。</w:t>
      </w:r>
      <w:r>
        <w:rPr>
          <w:rFonts w:hint="eastAsia" w:ascii="微软雅黑" w:hAnsi="微软雅黑" w:eastAsia="微软雅黑"/>
          <w:color w:val="000000" w:themeColor="text1"/>
          <w:sz w:val="21"/>
          <w:szCs w:val="21"/>
          <w14:textFill>
            <w14:solidFill>
              <w14:schemeClr w14:val="tx1"/>
            </w14:solidFill>
          </w14:textFill>
        </w:rPr>
        <w:t>（如下图10所示）。</w:t>
      </w:r>
    </w:p>
    <w:p w14:paraId="56B25480">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467100" cy="3007360"/>
            <wp:effectExtent l="0" t="0" r="0" b="254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472846" cy="3012412"/>
                    </a:xfrm>
                    <a:prstGeom prst="rect">
                      <a:avLst/>
                    </a:prstGeom>
                    <a:noFill/>
                    <a:ln>
                      <a:noFill/>
                    </a:ln>
                  </pic:spPr>
                </pic:pic>
              </a:graphicData>
            </a:graphic>
          </wp:inline>
        </w:drawing>
      </w:r>
    </w:p>
    <w:p w14:paraId="12608F30">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（图10）</w:t>
      </w:r>
    </w:p>
    <w:p w14:paraId="0319D51D">
      <w:pP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br w:type="page"/>
      </w:r>
    </w:p>
    <w:p w14:paraId="1D61F25E">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开启鹰眼监控</w:t>
      </w:r>
    </w:p>
    <w:p w14:paraId="69129471">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进入考试后，考试设备上会显示鹰眼监控二维码。使用智能手机或平板设备扫描二维码（如下图11所示）；</w:t>
      </w:r>
    </w:p>
    <w:p w14:paraId="519BB007">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FF0000"/>
          <w:sz w:val="21"/>
          <w:szCs w:val="21"/>
        </w:rPr>
        <w:t>注：以下呈现的所有二维码仅供展示，请以实际考试中获取的二维码为准。</w:t>
      </w:r>
    </w:p>
    <w:p w14:paraId="5CBCD901">
      <w:pPr>
        <w:pStyle w:val="19"/>
        <w:ind w:left="426" w:firstLine="0" w:firstLineChars="0"/>
        <w:jc w:val="center"/>
      </w:pPr>
      <w:r>
        <w:drawing>
          <wp:inline distT="0" distB="0" distL="0" distR="0">
            <wp:extent cx="3823970" cy="4443095"/>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3824315" cy="4443445"/>
                    </a:xfrm>
                    <a:prstGeom prst="rect">
                      <a:avLst/>
                    </a:prstGeom>
                  </pic:spPr>
                </pic:pic>
              </a:graphicData>
            </a:graphic>
          </wp:inline>
        </w:drawing>
      </w:r>
    </w:p>
    <w:p w14:paraId="53DDDABF">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（图11）</w:t>
      </w:r>
    </w:p>
    <w:p w14:paraId="011DB3FF">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如使用IOS</w:t>
      </w:r>
      <w:r>
        <w:rPr>
          <w:rFonts w:hint="eastAsia" w:ascii="微软雅黑" w:hAnsi="微软雅黑" w:eastAsia="微软雅黑" w:cs="等线"/>
          <w:color w:val="000000" w:themeColor="text1"/>
          <w:sz w:val="21"/>
          <w:szCs w:val="21"/>
          <w14:textFill>
            <w14:solidFill>
              <w14:schemeClr w14:val="tx1"/>
            </w14:solidFill>
          </w14:textFill>
        </w:rPr>
        <w:t>设备（</w:t>
      </w:r>
      <w:r>
        <w:rPr>
          <w:rFonts w:ascii="微软雅黑" w:hAnsi="微软雅黑" w:eastAsia="微软雅黑" w:cs="等线"/>
          <w:color w:val="000000" w:themeColor="text1"/>
          <w:sz w:val="21"/>
          <w:szCs w:val="21"/>
          <w14:textFill>
            <w14:solidFill>
              <w14:schemeClr w14:val="tx1"/>
            </w14:solidFill>
          </w14:textFill>
        </w:rPr>
        <w:t>iPhone</w:t>
      </w:r>
      <w:r>
        <w:rPr>
          <w:rFonts w:hint="eastAsia" w:ascii="微软雅黑" w:hAnsi="微软雅黑" w:eastAsia="微软雅黑" w:cs="等线"/>
          <w:color w:val="000000" w:themeColor="text1"/>
          <w:sz w:val="21"/>
          <w:szCs w:val="21"/>
          <w14:textFill>
            <w14:solidFill>
              <w14:schemeClr w14:val="tx1"/>
            </w14:solidFill>
          </w14:textFill>
        </w:rPr>
        <w:t>、iPad）</w:t>
      </w:r>
      <w:r>
        <w:rPr>
          <w:rFonts w:hint="eastAsia" w:ascii="微软雅黑" w:hAnsi="微软雅黑" w:eastAsia="微软雅黑"/>
          <w:color w:val="000000" w:themeColor="text1"/>
          <w:sz w:val="21"/>
          <w:szCs w:val="21"/>
          <w14:textFill>
            <w14:solidFill>
              <w14:schemeClr w14:val="tx1"/>
            </w14:solidFill>
          </w14:textFill>
        </w:rPr>
        <w:t>作为监控设备，扫描二维码后依据提示使用Safari打开鹰眼监控；安卓机型扫描二维码后选择使用推荐浏览器（谷歌）登录鹰眼监控。打开鹰眼监控后点击“进入监控”按钮，进入下一页（如下图12所示）；</w:t>
      </w:r>
    </w:p>
    <w:p w14:paraId="6B8EF29C">
      <w:pPr>
        <w:ind w:left="426"/>
        <w:jc w:val="center"/>
      </w:pPr>
      <w:r>
        <w:drawing>
          <wp:inline distT="0" distB="0" distL="0" distR="0">
            <wp:extent cx="2943225" cy="2834005"/>
            <wp:effectExtent l="0" t="0" r="0" b="4445"/>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14:paraId="65FE349F">
      <w:pPr>
        <w:pStyle w:val="19"/>
        <w:ind w:left="786" w:firstLine="0" w:firstLineChars="0"/>
        <w:jc w:val="center"/>
      </w:pPr>
    </w:p>
    <w:p w14:paraId="643596FE">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（图12）</w:t>
      </w:r>
    </w:p>
    <w:p w14:paraId="381658EB">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3）允许eztest.org访问相机（如下图13所示）；</w:t>
      </w:r>
    </w:p>
    <w:p w14:paraId="4C5DF248">
      <w:pPr>
        <w:pStyle w:val="19"/>
        <w:ind w:left="786" w:firstLine="0" w:firstLineChars="0"/>
        <w:jc w:val="center"/>
      </w:pPr>
      <w: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14:paraId="4B2495DD">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（图13）</w:t>
      </w:r>
    </w:p>
    <w:p w14:paraId="797FBB9B">
      <w:pPr>
        <w:pStyle w:val="19"/>
        <w:ind w:left="786" w:firstLine="0" w:firstLineChars="0"/>
      </w:pPr>
      <w:r>
        <w:rPr>
          <w:rFonts w:hint="eastAsia" w:ascii="微软雅黑" w:hAnsi="微软雅黑" w:eastAsia="微软雅黑"/>
          <w:color w:val="000000" w:themeColor="text1"/>
          <w:sz w:val="21"/>
          <w:szCs w:val="21"/>
          <w14:textFill>
            <w14:solidFill>
              <w14:schemeClr w14:val="tx1"/>
            </w14:solidFill>
          </w14:textFill>
        </w:rPr>
        <w:t>4）将监控设备摆放到合适的位置，建议的监控视角效果如下图14所示。具体要求可参考</w:t>
      </w:r>
      <w:r>
        <w:fldChar w:fldCharType="begin"/>
      </w:r>
      <w:r>
        <w:instrText xml:space="preserve"> HYPERLINK \l "___第二视角鹰眼监控要求" </w:instrText>
      </w:r>
      <w:r>
        <w:fldChar w:fldCharType="separate"/>
      </w:r>
      <w:r>
        <w:rPr>
          <w:rStyle w:val="17"/>
          <w:rFonts w:ascii="微软雅黑" w:hAnsi="微软雅黑" w:eastAsia="微软雅黑"/>
          <w:sz w:val="21"/>
          <w:szCs w:val="21"/>
        </w:rPr>
        <w:t>第二视角鹰眼监控架设要求</w:t>
      </w:r>
      <w:r>
        <w:rPr>
          <w:rStyle w:val="17"/>
          <w:rFonts w:ascii="微软雅黑" w:hAnsi="微软雅黑" w:eastAsia="微软雅黑"/>
          <w:sz w:val="21"/>
          <w:szCs w:val="21"/>
        </w:rPr>
        <w:fldChar w:fldCharType="end"/>
      </w:r>
      <w:r>
        <w:rPr>
          <w:rStyle w:val="17"/>
          <w:rFonts w:hint="eastAsia" w:ascii="微软雅黑" w:hAnsi="微软雅黑" w:eastAsia="微软雅黑"/>
          <w:sz w:val="21"/>
          <w:szCs w:val="21"/>
        </w:rPr>
        <w:t>。</w:t>
      </w:r>
    </w:p>
    <w:p w14:paraId="344D1EDF">
      <w:pPr>
        <w:pStyle w:val="19"/>
        <w:ind w:left="786" w:firstLine="0" w:firstLineChars="0"/>
        <w:jc w:val="center"/>
      </w:pPr>
      <w: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14:paraId="0DA62AB4">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（图14）</w:t>
      </w:r>
    </w:p>
    <w:p w14:paraId="3AC0FF20">
      <w:pPr>
        <w:pStyle w:val="19"/>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鹰眼监控开启且按照要求摆放后，在考试主设备的界面上点击“确定”按钮（如下图15所示）；</w:t>
      </w:r>
    </w:p>
    <w:p w14:paraId="19085042">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284220" cy="38157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3290374" cy="3823062"/>
                    </a:xfrm>
                    <a:prstGeom prst="rect">
                      <a:avLst/>
                    </a:prstGeom>
                  </pic:spPr>
                </pic:pic>
              </a:graphicData>
            </a:graphic>
          </wp:inline>
        </w:drawing>
      </w:r>
    </w:p>
    <w:p w14:paraId="6EFBC173">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（图15）</w:t>
      </w:r>
    </w:p>
    <w:p w14:paraId="71093316">
      <w:pPr>
        <w:pStyle w:val="19"/>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考中若出现网络故障，修复网络后，在考试主设备答题界面点击下图中标示的图标重新打开鹰眼监控二维码，使用智能手机或平板设备重新扫描并登陆鹰眼监控（如下图16所示）。</w:t>
      </w:r>
    </w:p>
    <w:p w14:paraId="08F9B71A">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14:paraId="6EF20755">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（图16）</w:t>
      </w:r>
    </w:p>
    <w:p w14:paraId="56102C22">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6） 考试结束后，在考试主设备上结束考试的同时，鹰眼监控会自动关闭。</w:t>
      </w:r>
    </w:p>
    <w:p w14:paraId="1B4B2207">
      <w:pPr>
        <w:rPr>
          <w:rFonts w:ascii="微软雅黑" w:hAnsi="微软雅黑" w:eastAsia="微软雅黑"/>
          <w:color w:val="000000" w:themeColor="text1"/>
          <w:sz w:val="21"/>
          <w:szCs w:val="21"/>
          <w14:textFill>
            <w14:solidFill>
              <w14:schemeClr w14:val="tx1"/>
            </w14:solidFill>
          </w14:textFill>
        </w:rPr>
      </w:pPr>
    </w:p>
    <w:p w14:paraId="4579EFB0">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答题</w:t>
      </w:r>
      <w:r>
        <w:rPr>
          <w:rFonts w:hint="eastAsia" w:ascii="微软雅黑" w:hAnsi="微软雅黑" w:eastAsia="微软雅黑"/>
          <w:color w:val="000000" w:themeColor="text1"/>
          <w:sz w:val="21"/>
          <w:szCs w:val="21"/>
          <w14:textFill>
            <w14:solidFill>
              <w14:schemeClr w14:val="tx1"/>
            </w14:solidFill>
          </w14:textFill>
        </w:rPr>
        <w:t>及</w:t>
      </w:r>
      <w:r>
        <w:rPr>
          <w:rFonts w:ascii="微软雅黑" w:hAnsi="微软雅黑" w:eastAsia="微软雅黑"/>
          <w:color w:val="000000" w:themeColor="text1"/>
          <w:sz w:val="21"/>
          <w:szCs w:val="21"/>
          <w14:textFill>
            <w14:solidFill>
              <w14:schemeClr w14:val="tx1"/>
            </w14:solidFill>
          </w14:textFill>
        </w:rPr>
        <w:t>交卷</w:t>
      </w:r>
    </w:p>
    <w:p w14:paraId="71ED1CE2">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（如下图17所示）；</w:t>
      </w:r>
    </w:p>
    <w:p w14:paraId="307A0429">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266503" cy="2017533"/>
                    </a:xfrm>
                    <a:prstGeom prst="rect">
                      <a:avLst/>
                    </a:prstGeom>
                  </pic:spPr>
                </pic:pic>
              </a:graphicData>
            </a:graphic>
          </wp:inline>
        </w:drawing>
      </w:r>
    </w:p>
    <w:p w14:paraId="53FE6EB0">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（图17）</w:t>
      </w:r>
    </w:p>
    <w:p w14:paraId="62E92EF3">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若考试包含多个单元，需先结束当前单元后进入下一单元的答题</w:t>
      </w:r>
      <w:r>
        <w:rPr>
          <w:rFonts w:hint="eastAsia" w:ascii="微软雅黑" w:hAnsi="微软雅黑" w:eastAsia="微软雅黑"/>
          <w:color w:val="000000" w:themeColor="text1"/>
          <w:sz w:val="21"/>
          <w:szCs w:val="21"/>
          <w14:textFill>
            <w14:solidFill>
              <w14:schemeClr w14:val="tx1"/>
            </w14:solidFill>
          </w14:textFill>
        </w:rPr>
        <w:t>（如下图18所示）；</w:t>
      </w:r>
      <w:r>
        <w:rPr>
          <w:rFonts w:ascii="微软雅黑" w:hAnsi="微软雅黑" w:eastAsia="微软雅黑"/>
          <w:color w:val="000000" w:themeColor="text1"/>
          <w:sz w:val="21"/>
          <w:szCs w:val="21"/>
          <w14:textFill>
            <w14:solidFill>
              <w14:schemeClr w14:val="tx1"/>
            </w14:solidFill>
          </w14:textFill>
        </w:rPr>
        <w:t>（注意：结束单元后不可</w:t>
      </w:r>
      <w:r>
        <w:rPr>
          <w:rFonts w:hint="eastAsia" w:ascii="微软雅黑" w:hAnsi="微软雅黑" w:eastAsia="微软雅黑"/>
          <w:color w:val="000000" w:themeColor="text1"/>
          <w:sz w:val="21"/>
          <w:szCs w:val="21"/>
          <w14:textFill>
            <w14:solidFill>
              <w14:schemeClr w14:val="tx1"/>
            </w14:solidFill>
          </w14:textFill>
        </w:rPr>
        <w:t>再</w:t>
      </w:r>
      <w:r>
        <w:rPr>
          <w:rFonts w:ascii="微软雅黑" w:hAnsi="微软雅黑" w:eastAsia="微软雅黑"/>
          <w:color w:val="000000" w:themeColor="text1"/>
          <w:sz w:val="21"/>
          <w:szCs w:val="21"/>
          <w14:textFill>
            <w14:solidFill>
              <w14:schemeClr w14:val="tx1"/>
            </w14:solidFill>
          </w14:textFill>
        </w:rPr>
        <w:t>返回修改答案，</w:t>
      </w:r>
      <w:r>
        <w:rPr>
          <w:rFonts w:hint="eastAsia" w:ascii="微软雅黑" w:hAnsi="微软雅黑" w:eastAsia="微软雅黑"/>
          <w:color w:val="000000" w:themeColor="text1"/>
          <w:sz w:val="21"/>
          <w:szCs w:val="21"/>
          <w14:textFill>
            <w14:solidFill>
              <w14:schemeClr w14:val="tx1"/>
            </w14:solidFill>
          </w14:textFill>
        </w:rPr>
        <w:t>考生必须确</w:t>
      </w:r>
      <w:r>
        <w:rPr>
          <w:rFonts w:ascii="微软雅黑" w:hAnsi="微软雅黑" w:eastAsia="微软雅黑"/>
          <w:color w:val="000000" w:themeColor="text1"/>
          <w:sz w:val="21"/>
          <w:szCs w:val="21"/>
          <w14:textFill>
            <w14:solidFill>
              <w14:schemeClr w14:val="tx1"/>
            </w14:solidFill>
          </w14:textFill>
        </w:rPr>
        <w:t>认</w:t>
      </w:r>
      <w:r>
        <w:rPr>
          <w:rFonts w:hint="eastAsia" w:ascii="微软雅黑" w:hAnsi="微软雅黑" w:eastAsia="微软雅黑"/>
          <w:color w:val="000000" w:themeColor="text1"/>
          <w:sz w:val="21"/>
          <w:szCs w:val="21"/>
          <w14:textFill>
            <w14:solidFill>
              <w14:schemeClr w14:val="tx1"/>
            </w14:solidFill>
          </w14:textFill>
        </w:rPr>
        <w:t>已经完成本单元答题后再</w:t>
      </w:r>
      <w:r>
        <w:rPr>
          <w:rFonts w:ascii="微软雅黑" w:hAnsi="微软雅黑" w:eastAsia="微软雅黑"/>
          <w:color w:val="000000" w:themeColor="text1"/>
          <w:sz w:val="21"/>
          <w:szCs w:val="21"/>
          <w14:textFill>
            <w14:solidFill>
              <w14:schemeClr w14:val="tx1"/>
            </w14:solidFill>
          </w14:textFill>
        </w:rPr>
        <w:t>结束</w:t>
      </w:r>
      <w:r>
        <w:rPr>
          <w:rFonts w:hint="eastAsia" w:ascii="微软雅黑" w:hAnsi="微软雅黑" w:eastAsia="微软雅黑"/>
          <w:color w:val="000000" w:themeColor="text1"/>
          <w:sz w:val="21"/>
          <w:szCs w:val="21"/>
          <w14:textFill>
            <w14:solidFill>
              <w14:schemeClr w14:val="tx1"/>
            </w14:solidFill>
          </w14:textFill>
        </w:rPr>
        <w:t>当前单元</w:t>
      </w:r>
      <w:r>
        <w:rPr>
          <w:rFonts w:ascii="微软雅黑" w:hAnsi="微软雅黑" w:eastAsia="微软雅黑"/>
          <w:color w:val="000000" w:themeColor="text1"/>
          <w:sz w:val="21"/>
          <w:szCs w:val="21"/>
          <w14:textFill>
            <w14:solidFill>
              <w14:schemeClr w14:val="tx1"/>
            </w14:solidFill>
          </w14:textFill>
        </w:rPr>
        <w:t>）</w:t>
      </w:r>
    </w:p>
    <w:p w14:paraId="26BB1864">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207260" cy="6470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cstate="print"/>
                    <a:stretch>
                      <a:fillRect/>
                    </a:stretch>
                  </pic:blipFill>
                  <pic:spPr>
                    <a:xfrm>
                      <a:off x="0" y="0"/>
                      <a:ext cx="2421819" cy="710219"/>
                    </a:xfrm>
                    <a:prstGeom prst="rect">
                      <a:avLst/>
                    </a:prstGeom>
                  </pic:spPr>
                </pic:pic>
              </a:graphicData>
            </a:graphic>
          </wp:inline>
        </w:drawing>
      </w:r>
    </w:p>
    <w:p w14:paraId="72A36E52">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291840" cy="15951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714548" cy="1799953"/>
                    </a:xfrm>
                    <a:prstGeom prst="rect">
                      <a:avLst/>
                    </a:prstGeom>
                    <a:noFill/>
                    <a:ln>
                      <a:noFill/>
                    </a:ln>
                  </pic:spPr>
                </pic:pic>
              </a:graphicData>
            </a:graphic>
          </wp:inline>
        </w:drawing>
      </w:r>
    </w:p>
    <w:p w14:paraId="02CC3043">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（图18）</w:t>
      </w:r>
    </w:p>
    <w:p w14:paraId="6E64202D">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考试界面会显示考试剩余时间。</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答题结束后，考生可以后点击界面右下角的“结束考试”按钮交卷。</w:t>
      </w:r>
      <w:r>
        <w:rPr>
          <w:rFonts w:hint="eastAsia" w:ascii="微软雅黑" w:hAnsi="微软雅黑" w:eastAsia="微软雅黑"/>
          <w:color w:val="000000" w:themeColor="text1"/>
          <w:sz w:val="21"/>
          <w:szCs w:val="21"/>
          <w14:textFill>
            <w14:solidFill>
              <w14:schemeClr w14:val="tx1"/>
            </w14:solidFill>
          </w14:textFill>
        </w:rPr>
        <w:t>（如下图19所示）；</w:t>
      </w:r>
    </w:p>
    <w:p w14:paraId="12335424">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7" cstate="print"/>
                    <a:stretch>
                      <a:fillRect/>
                    </a:stretch>
                  </pic:blipFill>
                  <pic:spPr>
                    <a:xfrm>
                      <a:off x="0" y="0"/>
                      <a:ext cx="4240367" cy="516014"/>
                    </a:xfrm>
                    <a:prstGeom prst="rect">
                      <a:avLst/>
                    </a:prstGeom>
                  </pic:spPr>
                </pic:pic>
              </a:graphicData>
            </a:graphic>
          </wp:inline>
        </w:drawing>
      </w:r>
    </w:p>
    <w:p w14:paraId="562FA1F3">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cstate="print"/>
                    <a:stretch>
                      <a:fillRect/>
                    </a:stretch>
                  </pic:blipFill>
                  <pic:spPr>
                    <a:xfrm>
                      <a:off x="0" y="0"/>
                      <a:ext cx="2704013" cy="986773"/>
                    </a:xfrm>
                    <a:prstGeom prst="rect">
                      <a:avLst/>
                    </a:prstGeom>
                  </pic:spPr>
                </pic:pic>
              </a:graphicData>
            </a:graphic>
          </wp:inline>
        </w:drawing>
      </w:r>
    </w:p>
    <w:p w14:paraId="7C64BBF1">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（图19）</w:t>
      </w:r>
    </w:p>
    <w:p w14:paraId="3F8B167E">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在线客服</w:t>
      </w:r>
      <w:r>
        <w:rPr>
          <w:rFonts w:hint="eastAsia" w:ascii="微软雅黑" w:hAnsi="微软雅黑" w:eastAsia="微软雅黑"/>
          <w:color w:val="000000" w:themeColor="text1"/>
          <w:sz w:val="21"/>
          <w:szCs w:val="21"/>
          <w14:textFill>
            <w14:solidFill>
              <w14:schemeClr w14:val="tx1"/>
            </w14:solidFill>
          </w14:textFill>
        </w:rPr>
        <w:t>”获取帮助。（如下图20所示）。</w:t>
      </w:r>
    </w:p>
    <w:p w14:paraId="55EAC90C">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042795" cy="2505075"/>
            <wp:effectExtent l="0" t="0" r="0" b="0"/>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9"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14:paraId="2B2FB311">
      <w:pPr>
        <w:pStyle w:val="19"/>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（图20）</w:t>
      </w:r>
    </w:p>
    <w:p w14:paraId="64950D6F">
      <w:pPr>
        <w:pStyle w:val="19"/>
        <w:snapToGrid w:val="0"/>
        <w:spacing w:line="360" w:lineRule="auto"/>
        <w:ind w:left="42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在线客服仅解答考试系统相关的问题；严禁向在线客服透露或咨询与考试内容有关的问题。关于考试资格、考试成绩、合格线等非考试系统问题，考生需另行咨询考试主办方.</w:t>
      </w:r>
    </w:p>
    <w:p w14:paraId="453150E3">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考试设备四周光线充足、均匀，避免监控画面过暗或过亮，导致监控效果不佳被判定为违纪。（如下图21所示）</w:t>
      </w:r>
    </w:p>
    <w:p w14:paraId="6FF23B9C">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3134346" cy="2316690"/>
                    </a:xfrm>
                    <a:prstGeom prst="rect">
                      <a:avLst/>
                    </a:prstGeom>
                  </pic:spPr>
                </pic:pic>
              </a:graphicData>
            </a:graphic>
          </wp:inline>
        </w:drawing>
      </w:r>
    </w:p>
    <w:p w14:paraId="5BD25865">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（图21）</w:t>
      </w:r>
    </w:p>
    <w:p w14:paraId="2F960072">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14:textFill>
            <w14:solidFill>
              <w14:schemeClr w14:val="tx1"/>
            </w14:solidFill>
          </w14:textFill>
        </w:rPr>
        <w:t>第二视角鹰眼监控的架设</w:t>
      </w:r>
    </w:p>
    <w:p w14:paraId="7F4DB844">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角（如下图22所示）。</w:t>
      </w:r>
    </w:p>
    <w:p w14:paraId="63A3127F">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14:paraId="02096D7A">
      <w:pPr>
        <w:pStyle w:val="19"/>
        <w:snapToGrid w:val="0"/>
        <w:spacing w:line="360" w:lineRule="auto"/>
        <w:ind w:firstLine="0" w:firstLineChars="0"/>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highlight w:val="lightGray"/>
          <w14:textFill>
            <w14:solidFill>
              <w14:schemeClr w14:val="tx1"/>
            </w14:solidFill>
          </w14:textFill>
        </w:rPr>
        <w:t>（图22）</w:t>
      </w:r>
    </w:p>
    <w:p w14:paraId="3EB9A4E8">
      <w:pPr>
        <w:pStyle w:val="19"/>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23所示）。</w:t>
      </w:r>
    </w:p>
    <w:p w14:paraId="72F82BFA">
      <w:pPr>
        <w:pStyle w:val="19"/>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14:paraId="08BA578E">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14:paraId="6FBD99E1">
      <w:pPr>
        <w:pStyle w:val="19"/>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（图23）</w:t>
      </w:r>
    </w:p>
    <w:p w14:paraId="57C54EE3">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考试过程的中采集的监控信息，将只允许考试主办方查阅，作为判定考生是否遵守考试规则的辅助依据；不会用在除此之外的其他用途。</w:t>
      </w:r>
    </w:p>
    <w:sectPr>
      <w:headerReference r:id="rId3" w:type="default"/>
      <w:footerReference r:id="rId4" w:type="default"/>
      <w:pgSz w:w="11906" w:h="16838"/>
      <w:pgMar w:top="1440"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docPartObj>
        <w:docPartGallery w:val="AutoText"/>
      </w:docPartObj>
    </w:sdtPr>
    <w:sdtContent>
      <w:sdt>
        <w:sdtPr>
          <w:id w:val="-1669238322"/>
          <w:docPartObj>
            <w:docPartGallery w:val="AutoText"/>
          </w:docPartObj>
        </w:sdtPr>
        <w:sdtContent>
          <w:p w14:paraId="00228B7D">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14</w:t>
            </w:r>
            <w:r>
              <w:rPr>
                <w:b/>
                <w:bCs/>
                <w:sz w:val="24"/>
                <w:szCs w:val="24"/>
              </w:rPr>
              <w:fldChar w:fldCharType="end"/>
            </w:r>
          </w:p>
        </w:sdtContent>
      </w:sdt>
    </w:sdtContent>
  </w:sdt>
  <w:p w14:paraId="2F157D66">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3C2C2">
    <w:pPr>
      <w:pStyle w:val="7"/>
    </w:pPr>
    <w:r>
      <w:drawing>
        <wp:inline distT="0" distB="0" distL="0" distR="0">
          <wp:extent cx="1447800" cy="25209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65342" cy="255496"/>
                  </a:xfrm>
                  <a:prstGeom prst="rect">
                    <a:avLst/>
                  </a:prstGeom>
                </pic:spPr>
              </pic:pic>
            </a:graphicData>
          </a:graphic>
        </wp:inline>
      </w:drawing>
    </w:r>
    <w:r>
      <w:ptab w:relativeTo="margin" w:alignment="center" w:leader="none"/>
    </w:r>
    <w:r>
      <w:ptab w:relativeTo="margin" w:alignment="right" w:leader="none"/>
    </w:r>
    <w:r>
      <w:drawing>
        <wp:inline distT="0" distB="0" distL="0" distR="0">
          <wp:extent cx="647700" cy="2990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55108" cy="30283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32CA29"/>
    <w:multiLevelType w:val="singleLevel"/>
    <w:tmpl w:val="BC32CA29"/>
    <w:lvl w:ilvl="0" w:tentative="0">
      <w:start w:val="1"/>
      <w:numFmt w:val="decimal"/>
      <w:suff w:val="space"/>
      <w:lvlText w:val="%1."/>
      <w:lvlJc w:val="left"/>
    </w:lvl>
  </w:abstractNum>
  <w:abstractNum w:abstractNumId="1">
    <w:nsid w:val="EE9CC716"/>
    <w:multiLevelType w:val="singleLevel"/>
    <w:tmpl w:val="EE9CC716"/>
    <w:lvl w:ilvl="0" w:tentative="0">
      <w:start w:val="5"/>
      <w:numFmt w:val="decimal"/>
      <w:suff w:val="nothing"/>
      <w:lvlText w:val="%1）"/>
      <w:lvlJc w:val="left"/>
    </w:lvl>
  </w:abstractNum>
  <w:abstractNum w:abstractNumId="2">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8E11875"/>
    <w:multiLevelType w:val="multilevel"/>
    <w:tmpl w:val="18E11875"/>
    <w:lvl w:ilvl="0" w:tentative="0">
      <w:start w:val="2"/>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D6406CF"/>
    <w:multiLevelType w:val="multilevel"/>
    <w:tmpl w:val="5D6406C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4"/>
  </w:num>
  <w:num w:numId="2">
    <w:abstractNumId w:val="2"/>
  </w:num>
  <w:num w:numId="3">
    <w:abstractNumId w:val="9"/>
  </w:num>
  <w:num w:numId="4">
    <w:abstractNumId w:val="12"/>
  </w:num>
  <w:num w:numId="5">
    <w:abstractNumId w:val="8"/>
  </w:num>
  <w:num w:numId="6">
    <w:abstractNumId w:val="11"/>
  </w:num>
  <w:num w:numId="7">
    <w:abstractNumId w:val="0"/>
  </w:num>
  <w:num w:numId="8">
    <w:abstractNumId w:val="7"/>
  </w:num>
  <w:num w:numId="9">
    <w:abstractNumId w:val="10"/>
  </w:num>
  <w:num w:numId="10">
    <w:abstractNumId w:val="3"/>
  </w:num>
  <w:num w:numId="11">
    <w:abstractNumId w:val="6"/>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6B72DA"/>
    <w:rsid w:val="0000509D"/>
    <w:rsid w:val="00020C12"/>
    <w:rsid w:val="0002213F"/>
    <w:rsid w:val="00037D6F"/>
    <w:rsid w:val="00045156"/>
    <w:rsid w:val="00045E89"/>
    <w:rsid w:val="00051352"/>
    <w:rsid w:val="00052400"/>
    <w:rsid w:val="00052A15"/>
    <w:rsid w:val="000609DD"/>
    <w:rsid w:val="000643C1"/>
    <w:rsid w:val="00065AD7"/>
    <w:rsid w:val="00075AAD"/>
    <w:rsid w:val="00086D55"/>
    <w:rsid w:val="000970D8"/>
    <w:rsid w:val="000A398D"/>
    <w:rsid w:val="000A7D5C"/>
    <w:rsid w:val="000C4BE2"/>
    <w:rsid w:val="000C63B4"/>
    <w:rsid w:val="000D5317"/>
    <w:rsid w:val="000E17F5"/>
    <w:rsid w:val="000E6531"/>
    <w:rsid w:val="000E7296"/>
    <w:rsid w:val="000F10A6"/>
    <w:rsid w:val="0010079C"/>
    <w:rsid w:val="00100CE6"/>
    <w:rsid w:val="00101F69"/>
    <w:rsid w:val="00102613"/>
    <w:rsid w:val="0010546A"/>
    <w:rsid w:val="00111355"/>
    <w:rsid w:val="00116097"/>
    <w:rsid w:val="001219B4"/>
    <w:rsid w:val="001311B0"/>
    <w:rsid w:val="00152B1A"/>
    <w:rsid w:val="00160938"/>
    <w:rsid w:val="00163663"/>
    <w:rsid w:val="001705F0"/>
    <w:rsid w:val="00170963"/>
    <w:rsid w:val="00176B42"/>
    <w:rsid w:val="0018194E"/>
    <w:rsid w:val="001833F2"/>
    <w:rsid w:val="001978D2"/>
    <w:rsid w:val="001A51BA"/>
    <w:rsid w:val="001B080C"/>
    <w:rsid w:val="001B442E"/>
    <w:rsid w:val="001B6FC9"/>
    <w:rsid w:val="001C2CC6"/>
    <w:rsid w:val="001C68FF"/>
    <w:rsid w:val="001D4AC9"/>
    <w:rsid w:val="001E2A75"/>
    <w:rsid w:val="001E337B"/>
    <w:rsid w:val="001E4C12"/>
    <w:rsid w:val="001F1E89"/>
    <w:rsid w:val="002027D1"/>
    <w:rsid w:val="00206FD5"/>
    <w:rsid w:val="002318A1"/>
    <w:rsid w:val="00233479"/>
    <w:rsid w:val="00235D3A"/>
    <w:rsid w:val="00236721"/>
    <w:rsid w:val="00236BFB"/>
    <w:rsid w:val="00240086"/>
    <w:rsid w:val="002404B9"/>
    <w:rsid w:val="00245E83"/>
    <w:rsid w:val="002462A6"/>
    <w:rsid w:val="00261253"/>
    <w:rsid w:val="00271A06"/>
    <w:rsid w:val="00280706"/>
    <w:rsid w:val="0029373F"/>
    <w:rsid w:val="002A1C9C"/>
    <w:rsid w:val="002A5C3F"/>
    <w:rsid w:val="002B1183"/>
    <w:rsid w:val="002C17B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41537"/>
    <w:rsid w:val="00344F33"/>
    <w:rsid w:val="00350163"/>
    <w:rsid w:val="00353728"/>
    <w:rsid w:val="00362C1E"/>
    <w:rsid w:val="0036332B"/>
    <w:rsid w:val="003721CC"/>
    <w:rsid w:val="00372CB1"/>
    <w:rsid w:val="00373E22"/>
    <w:rsid w:val="003856E6"/>
    <w:rsid w:val="00395E86"/>
    <w:rsid w:val="003A15D1"/>
    <w:rsid w:val="003B02EE"/>
    <w:rsid w:val="003B6572"/>
    <w:rsid w:val="003C736D"/>
    <w:rsid w:val="003D0AAA"/>
    <w:rsid w:val="003D206A"/>
    <w:rsid w:val="003D60FF"/>
    <w:rsid w:val="003E00E1"/>
    <w:rsid w:val="003E10B0"/>
    <w:rsid w:val="003E292B"/>
    <w:rsid w:val="003F7E0C"/>
    <w:rsid w:val="00404E8B"/>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E2593"/>
    <w:rsid w:val="004F13EF"/>
    <w:rsid w:val="004F2D0F"/>
    <w:rsid w:val="00500EA5"/>
    <w:rsid w:val="00501531"/>
    <w:rsid w:val="00506273"/>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4226"/>
    <w:rsid w:val="005B34F1"/>
    <w:rsid w:val="005B7405"/>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32A00"/>
    <w:rsid w:val="00642AB2"/>
    <w:rsid w:val="00642FB2"/>
    <w:rsid w:val="006434B7"/>
    <w:rsid w:val="00650D55"/>
    <w:rsid w:val="006540C4"/>
    <w:rsid w:val="006546DC"/>
    <w:rsid w:val="00654B9C"/>
    <w:rsid w:val="00662ED4"/>
    <w:rsid w:val="00664113"/>
    <w:rsid w:val="00675925"/>
    <w:rsid w:val="00693ACB"/>
    <w:rsid w:val="00696640"/>
    <w:rsid w:val="006B2D9C"/>
    <w:rsid w:val="006B38B7"/>
    <w:rsid w:val="006B62CE"/>
    <w:rsid w:val="006D12F4"/>
    <w:rsid w:val="006D41BD"/>
    <w:rsid w:val="00702B62"/>
    <w:rsid w:val="00724C05"/>
    <w:rsid w:val="007258FA"/>
    <w:rsid w:val="00727536"/>
    <w:rsid w:val="00736034"/>
    <w:rsid w:val="00741708"/>
    <w:rsid w:val="00782025"/>
    <w:rsid w:val="007851CF"/>
    <w:rsid w:val="007A7B73"/>
    <w:rsid w:val="007C0841"/>
    <w:rsid w:val="007C1203"/>
    <w:rsid w:val="007D0C28"/>
    <w:rsid w:val="007E5771"/>
    <w:rsid w:val="007E6E95"/>
    <w:rsid w:val="007F2067"/>
    <w:rsid w:val="007F3D16"/>
    <w:rsid w:val="00802A18"/>
    <w:rsid w:val="00803D04"/>
    <w:rsid w:val="00816059"/>
    <w:rsid w:val="0082499D"/>
    <w:rsid w:val="00825504"/>
    <w:rsid w:val="008273B6"/>
    <w:rsid w:val="008373EB"/>
    <w:rsid w:val="008379A9"/>
    <w:rsid w:val="0084367E"/>
    <w:rsid w:val="00862E06"/>
    <w:rsid w:val="00863F34"/>
    <w:rsid w:val="00865584"/>
    <w:rsid w:val="0087036D"/>
    <w:rsid w:val="00870EBA"/>
    <w:rsid w:val="00883786"/>
    <w:rsid w:val="00886498"/>
    <w:rsid w:val="00887052"/>
    <w:rsid w:val="00891E2B"/>
    <w:rsid w:val="008A14C9"/>
    <w:rsid w:val="008A2C55"/>
    <w:rsid w:val="008A312D"/>
    <w:rsid w:val="008A3D5E"/>
    <w:rsid w:val="008B60C6"/>
    <w:rsid w:val="008B6F55"/>
    <w:rsid w:val="008C42F0"/>
    <w:rsid w:val="008C693F"/>
    <w:rsid w:val="008D5E05"/>
    <w:rsid w:val="008D7ED5"/>
    <w:rsid w:val="008E2F2C"/>
    <w:rsid w:val="008F0ED9"/>
    <w:rsid w:val="008F16A4"/>
    <w:rsid w:val="008F1928"/>
    <w:rsid w:val="00910D8B"/>
    <w:rsid w:val="009220F6"/>
    <w:rsid w:val="009301F8"/>
    <w:rsid w:val="00931577"/>
    <w:rsid w:val="009347F4"/>
    <w:rsid w:val="00940A2B"/>
    <w:rsid w:val="00940DB4"/>
    <w:rsid w:val="00951EC3"/>
    <w:rsid w:val="00952086"/>
    <w:rsid w:val="009528CA"/>
    <w:rsid w:val="00952EEA"/>
    <w:rsid w:val="009548ED"/>
    <w:rsid w:val="00956229"/>
    <w:rsid w:val="00984951"/>
    <w:rsid w:val="00991D69"/>
    <w:rsid w:val="00991EC1"/>
    <w:rsid w:val="00995FB0"/>
    <w:rsid w:val="009B00C5"/>
    <w:rsid w:val="009C1FC9"/>
    <w:rsid w:val="009C5808"/>
    <w:rsid w:val="009C6237"/>
    <w:rsid w:val="009D3379"/>
    <w:rsid w:val="009E1C54"/>
    <w:rsid w:val="009E204F"/>
    <w:rsid w:val="009E4B92"/>
    <w:rsid w:val="009F2C38"/>
    <w:rsid w:val="00A10612"/>
    <w:rsid w:val="00A12E6F"/>
    <w:rsid w:val="00A1547A"/>
    <w:rsid w:val="00A175B6"/>
    <w:rsid w:val="00A211B0"/>
    <w:rsid w:val="00A211DA"/>
    <w:rsid w:val="00A33246"/>
    <w:rsid w:val="00A3654D"/>
    <w:rsid w:val="00A444F4"/>
    <w:rsid w:val="00A60136"/>
    <w:rsid w:val="00A66237"/>
    <w:rsid w:val="00A74E51"/>
    <w:rsid w:val="00A8243F"/>
    <w:rsid w:val="00A82FCA"/>
    <w:rsid w:val="00AA080C"/>
    <w:rsid w:val="00AA4BE7"/>
    <w:rsid w:val="00AA79BB"/>
    <w:rsid w:val="00AC2C70"/>
    <w:rsid w:val="00AC6B87"/>
    <w:rsid w:val="00AD2CE4"/>
    <w:rsid w:val="00AE1A40"/>
    <w:rsid w:val="00AF10E7"/>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675"/>
    <w:rsid w:val="00BC49B8"/>
    <w:rsid w:val="00BC4A2B"/>
    <w:rsid w:val="00BD0C7C"/>
    <w:rsid w:val="00BD4A92"/>
    <w:rsid w:val="00BD4B15"/>
    <w:rsid w:val="00BE36A4"/>
    <w:rsid w:val="00BE3C36"/>
    <w:rsid w:val="00BE681F"/>
    <w:rsid w:val="00BF2767"/>
    <w:rsid w:val="00BF7658"/>
    <w:rsid w:val="00C0014A"/>
    <w:rsid w:val="00C109ED"/>
    <w:rsid w:val="00C14AF0"/>
    <w:rsid w:val="00C15323"/>
    <w:rsid w:val="00C22A53"/>
    <w:rsid w:val="00C23E4C"/>
    <w:rsid w:val="00C33AB7"/>
    <w:rsid w:val="00C42044"/>
    <w:rsid w:val="00C511E9"/>
    <w:rsid w:val="00C52419"/>
    <w:rsid w:val="00C62008"/>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E1E7F"/>
    <w:rsid w:val="00CF1988"/>
    <w:rsid w:val="00CF2242"/>
    <w:rsid w:val="00D107F1"/>
    <w:rsid w:val="00D11D91"/>
    <w:rsid w:val="00D14A23"/>
    <w:rsid w:val="00D22AC9"/>
    <w:rsid w:val="00D31035"/>
    <w:rsid w:val="00D33807"/>
    <w:rsid w:val="00D463E9"/>
    <w:rsid w:val="00D46968"/>
    <w:rsid w:val="00D60863"/>
    <w:rsid w:val="00D612D0"/>
    <w:rsid w:val="00D8224D"/>
    <w:rsid w:val="00D82B11"/>
    <w:rsid w:val="00D876C7"/>
    <w:rsid w:val="00D95805"/>
    <w:rsid w:val="00DA5EDE"/>
    <w:rsid w:val="00DA5FCE"/>
    <w:rsid w:val="00DA728E"/>
    <w:rsid w:val="00DC3CEB"/>
    <w:rsid w:val="00DC6FA2"/>
    <w:rsid w:val="00DC7C95"/>
    <w:rsid w:val="00DD5A80"/>
    <w:rsid w:val="00DE0A2E"/>
    <w:rsid w:val="00DE598B"/>
    <w:rsid w:val="00DE747C"/>
    <w:rsid w:val="00DF076E"/>
    <w:rsid w:val="00DF6068"/>
    <w:rsid w:val="00E07289"/>
    <w:rsid w:val="00E24CBF"/>
    <w:rsid w:val="00E256FA"/>
    <w:rsid w:val="00E32D00"/>
    <w:rsid w:val="00E349A0"/>
    <w:rsid w:val="00E44638"/>
    <w:rsid w:val="00E460F3"/>
    <w:rsid w:val="00E46302"/>
    <w:rsid w:val="00E64BD9"/>
    <w:rsid w:val="00E72311"/>
    <w:rsid w:val="00E835ED"/>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4E21"/>
    <w:rsid w:val="00F1144D"/>
    <w:rsid w:val="00F37437"/>
    <w:rsid w:val="00F37826"/>
    <w:rsid w:val="00F44F29"/>
    <w:rsid w:val="00F456E3"/>
    <w:rsid w:val="00F53CB0"/>
    <w:rsid w:val="00F553C7"/>
    <w:rsid w:val="00F66285"/>
    <w:rsid w:val="00F863D6"/>
    <w:rsid w:val="00F93B1B"/>
    <w:rsid w:val="00FA64EB"/>
    <w:rsid w:val="00FA79F4"/>
    <w:rsid w:val="00FB3F3C"/>
    <w:rsid w:val="00FC1205"/>
    <w:rsid w:val="00FC24B0"/>
    <w:rsid w:val="00FC29FF"/>
    <w:rsid w:val="00FC4489"/>
    <w:rsid w:val="00FC6A00"/>
    <w:rsid w:val="00FD0A82"/>
    <w:rsid w:val="00FD190D"/>
    <w:rsid w:val="00FD374A"/>
    <w:rsid w:val="00FE056E"/>
    <w:rsid w:val="00FE1C57"/>
    <w:rsid w:val="00FF6663"/>
    <w:rsid w:val="00FF7324"/>
    <w:rsid w:val="031F13BF"/>
    <w:rsid w:val="05BC498F"/>
    <w:rsid w:val="05D03F7E"/>
    <w:rsid w:val="062E067F"/>
    <w:rsid w:val="06D81011"/>
    <w:rsid w:val="09AB4FC4"/>
    <w:rsid w:val="0C763697"/>
    <w:rsid w:val="0C7A0C2D"/>
    <w:rsid w:val="0DF05F6F"/>
    <w:rsid w:val="14A71A82"/>
    <w:rsid w:val="14C50133"/>
    <w:rsid w:val="153B3C08"/>
    <w:rsid w:val="1631071F"/>
    <w:rsid w:val="17975BFB"/>
    <w:rsid w:val="17AD0544"/>
    <w:rsid w:val="18F91185"/>
    <w:rsid w:val="18FA37AC"/>
    <w:rsid w:val="19F31CD4"/>
    <w:rsid w:val="1BA638CA"/>
    <w:rsid w:val="1BD71918"/>
    <w:rsid w:val="1CCC2A48"/>
    <w:rsid w:val="202B4F8F"/>
    <w:rsid w:val="22A26D1E"/>
    <w:rsid w:val="23084F32"/>
    <w:rsid w:val="23714E5C"/>
    <w:rsid w:val="259E77F9"/>
    <w:rsid w:val="265B7D18"/>
    <w:rsid w:val="27F16857"/>
    <w:rsid w:val="2B825D8A"/>
    <w:rsid w:val="2D6B72DA"/>
    <w:rsid w:val="2E401CD8"/>
    <w:rsid w:val="30926979"/>
    <w:rsid w:val="31724B4F"/>
    <w:rsid w:val="356277D7"/>
    <w:rsid w:val="35FB3DFD"/>
    <w:rsid w:val="36447083"/>
    <w:rsid w:val="37C459C4"/>
    <w:rsid w:val="3F49254A"/>
    <w:rsid w:val="3FEB1911"/>
    <w:rsid w:val="41F1330B"/>
    <w:rsid w:val="449A5D6E"/>
    <w:rsid w:val="45B75FA3"/>
    <w:rsid w:val="46316866"/>
    <w:rsid w:val="47B232E5"/>
    <w:rsid w:val="48430251"/>
    <w:rsid w:val="4CD3647F"/>
    <w:rsid w:val="4DEF4266"/>
    <w:rsid w:val="4FD6553C"/>
    <w:rsid w:val="536A1D08"/>
    <w:rsid w:val="53CD0474"/>
    <w:rsid w:val="56100483"/>
    <w:rsid w:val="57C1025B"/>
    <w:rsid w:val="58536AB2"/>
    <w:rsid w:val="58F31BB9"/>
    <w:rsid w:val="5A623525"/>
    <w:rsid w:val="5C4123AE"/>
    <w:rsid w:val="68881312"/>
    <w:rsid w:val="6AFE0B15"/>
    <w:rsid w:val="6B265157"/>
    <w:rsid w:val="70736EB2"/>
    <w:rsid w:val="70B614CB"/>
    <w:rsid w:val="723C2441"/>
    <w:rsid w:val="73BA2088"/>
    <w:rsid w:val="74453043"/>
    <w:rsid w:val="745A1118"/>
    <w:rsid w:val="74E536F3"/>
    <w:rsid w:val="773B3A2B"/>
    <w:rsid w:val="77A123AF"/>
    <w:rsid w:val="79855515"/>
    <w:rsid w:val="7A746038"/>
    <w:rsid w:val="7A8F2A16"/>
    <w:rsid w:val="7CD578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6"/>
    <w:semiHidden/>
    <w:unhideWhenUsed/>
    <w:uiPriority w:val="0"/>
    <w:rPr>
      <w:sz w:val="20"/>
      <w:szCs w:val="20"/>
    </w:rPr>
  </w:style>
  <w:style w:type="paragraph" w:styleId="5">
    <w:name w:val="Balloon Text"/>
    <w:basedOn w:val="1"/>
    <w:link w:val="22"/>
    <w:uiPriority w:val="0"/>
    <w:rPr>
      <w:sz w:val="18"/>
      <w:szCs w:val="18"/>
    </w:rPr>
  </w:style>
  <w:style w:type="paragraph" w:styleId="6">
    <w:name w:val="footer"/>
    <w:basedOn w:val="1"/>
    <w:link w:val="21"/>
    <w:uiPriority w:val="99"/>
    <w:pPr>
      <w:tabs>
        <w:tab w:val="center" w:pos="4153"/>
        <w:tab w:val="right" w:pos="8306"/>
      </w:tabs>
      <w:snapToGrid w:val="0"/>
    </w:pPr>
    <w:rPr>
      <w:sz w:val="18"/>
      <w:szCs w:val="18"/>
    </w:rPr>
  </w:style>
  <w:style w:type="paragraph" w:styleId="7">
    <w:name w:val="header"/>
    <w:basedOn w:val="1"/>
    <w:link w:val="20"/>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Char"/>
    <w:basedOn w:val="13"/>
    <w:link w:val="7"/>
    <w:qFormat/>
    <w:uiPriority w:val="0"/>
    <w:rPr>
      <w:rFonts w:ascii="宋体" w:hAnsi="宋体" w:eastAsia="宋体" w:cs="宋体"/>
      <w:sz w:val="18"/>
      <w:szCs w:val="18"/>
    </w:rPr>
  </w:style>
  <w:style w:type="character" w:customStyle="1" w:styleId="21">
    <w:name w:val="页脚 Char"/>
    <w:basedOn w:val="13"/>
    <w:link w:val="6"/>
    <w:qFormat/>
    <w:uiPriority w:val="99"/>
    <w:rPr>
      <w:rFonts w:ascii="宋体" w:hAnsi="宋体" w:eastAsia="宋体" w:cs="宋体"/>
      <w:sz w:val="18"/>
      <w:szCs w:val="18"/>
    </w:rPr>
  </w:style>
  <w:style w:type="character" w:customStyle="1" w:styleId="22">
    <w:name w:val="批注框文本 Char"/>
    <w:basedOn w:val="13"/>
    <w:link w:val="5"/>
    <w:qFormat/>
    <w:uiPriority w:val="0"/>
    <w:rPr>
      <w:rFonts w:ascii="宋体" w:hAnsi="宋体" w:eastAsia="宋体" w:cs="宋体"/>
      <w:sz w:val="18"/>
      <w:szCs w:val="18"/>
    </w:rPr>
  </w:style>
  <w:style w:type="character" w:customStyle="1" w:styleId="23">
    <w:name w:val="标题 1 Char"/>
    <w:basedOn w:val="13"/>
    <w:link w:val="2"/>
    <w:qFormat/>
    <w:uiPriority w:val="0"/>
    <w:rPr>
      <w:rFonts w:ascii="宋体" w:hAnsi="宋体" w:eastAsia="宋体" w:cs="宋体"/>
      <w:b/>
      <w:bCs/>
      <w:kern w:val="44"/>
      <w:sz w:val="44"/>
      <w:szCs w:val="44"/>
    </w:rPr>
  </w:style>
  <w:style w:type="character" w:customStyle="1" w:styleId="24">
    <w:name w:val="标题 2 Char"/>
    <w:basedOn w:val="13"/>
    <w:link w:val="3"/>
    <w:qFormat/>
    <w:uiPriority w:val="0"/>
    <w:rPr>
      <w:rFonts w:asciiTheme="majorHAnsi" w:hAnsiTheme="majorHAnsi" w:eastAsiaTheme="majorEastAsia" w:cstheme="majorBidi"/>
      <w:b/>
      <w:bCs/>
      <w:sz w:val="32"/>
      <w:szCs w:val="32"/>
    </w:rPr>
  </w:style>
  <w:style w:type="character" w:customStyle="1" w:styleId="25">
    <w:name w:val="标题 Char"/>
    <w:basedOn w:val="13"/>
    <w:link w:val="9"/>
    <w:qFormat/>
    <w:uiPriority w:val="0"/>
    <w:rPr>
      <w:rFonts w:eastAsia="宋体" w:asciiTheme="majorHAnsi" w:hAnsiTheme="majorHAnsi" w:cstheme="majorBidi"/>
      <w:b/>
      <w:bCs/>
      <w:sz w:val="32"/>
      <w:szCs w:val="32"/>
    </w:rPr>
  </w:style>
  <w:style w:type="character" w:customStyle="1" w:styleId="26">
    <w:name w:val="批注文字 Char"/>
    <w:basedOn w:val="13"/>
    <w:link w:val="4"/>
    <w:semiHidden/>
    <w:qFormat/>
    <w:uiPriority w:val="0"/>
    <w:rPr>
      <w:rFonts w:ascii="宋体" w:hAnsi="宋体" w:eastAsia="宋体" w:cs="宋体"/>
    </w:rPr>
  </w:style>
  <w:style w:type="character" w:customStyle="1" w:styleId="27">
    <w:name w:val="批注主题 Char"/>
    <w:basedOn w:val="26"/>
    <w:link w:val="10"/>
    <w:semiHidden/>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02C53-7BB8-4F4C-8ADA-0F39BE25EBA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2932</Words>
  <Characters>3115</Characters>
  <Lines>3</Lines>
  <Paragraphs>6</Paragraphs>
  <TotalTime>98</TotalTime>
  <ScaleCrop>false</ScaleCrop>
  <LinksUpToDate>false</LinksUpToDate>
  <CharactersWithSpaces>3128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2020-06-24T06:06:00Z</dcterms:created>
  <dc:creator>XR</dc:creator>
  <cp:lastModifiedBy>樱桃蜜瓜沙拉</cp:lastModifiedBy>
  <dcterms:modified xsi:type="dcterms:W3CDTF">2025-05-08T09:04:17Z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_MarkAsFinal">
    <vt:bool>true</vt:bool>
  </property>
  <property fmtid="{D5CDD505-2E9C-101B-9397-08002B2CF9AE}" pid="4" name="KSOTemplateDocerSaveRecord">
    <vt:lpwstr>eyJoZGlkIjoiODZhYjg0M2MzMzc5MjlkN2M1N2Y1OTUyZjUxNWNiOWMiLCJ1c2VySWQiOiIyMTIwNzI3OTYifQ==</vt:lpwstr>
  </property>
  <property fmtid="{D5CDD505-2E9C-101B-9397-08002B2CF9AE}" pid="5" name="ICV">
    <vt:lpwstr>4EC2C0E3CDAE46A183D3BD4CDE41BF62_12</vt:lpwstr>
  </property>
</Properties>
</file>