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left"/>
        <w:rPr>
          <w:rFonts w:hint="eastAsia"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6"/>
          <w:szCs w:val="36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华文中宋" w:hAnsi="华文中宋" w:eastAsia="华文中宋" w:cs="方正小标宋简体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uppressAutoHyphens/>
        <w:ind w:firstLine="880" w:firstLineChars="200"/>
        <w:jc w:val="both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北京市卫生健康系统职业技能竞赛</w:t>
      </w:r>
    </w:p>
    <w:p>
      <w:pPr>
        <w:suppressAutoHyphens/>
        <w:ind w:firstLine="1760" w:firstLineChars="400"/>
        <w:jc w:val="both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-中药调剂竞赛实施方案</w:t>
      </w:r>
    </w:p>
    <w:p>
      <w:pPr>
        <w:suppressAutoHyphens/>
        <w:spacing w:line="360" w:lineRule="auto"/>
        <w:ind w:firstLine="0"/>
        <w:jc w:val="left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" w:hAnsi="仿宋" w:eastAsia="仿宋"/>
          <w:b/>
          <w:sz w:val="28"/>
          <w:szCs w:val="44"/>
        </w:rPr>
        <w:t xml:space="preserve">     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为大力弘扬劳模精神、劳动精神、工匠精神和卫生健康崇高职业精神，根据国家中医药管理局“关于全国卫生健康系统职业技能竞赛-中药调剂竞赛有关事项的通知”、北京市卫生健康委员会与北京市总工会“关于举办北京市卫生健康系统职业技能竞赛的通知”有关精神，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市中医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局在全市医疗机构组织“北京市卫生健康系统职业技能竞赛-中药调剂竞赛”，由北京中医药学会、北京中西医结合学会联合承办，具体实施方案如下。</w:t>
      </w:r>
    </w:p>
    <w:p>
      <w:pPr>
        <w:ind w:firstLine="640" w:firstLineChars="200"/>
        <w:rPr>
          <w:rFonts w:ascii="黑体" w:hAnsi="黑体" w:eastAsia="黑体" w:cs="方正黑体_GBK"/>
          <w:sz w:val="32"/>
          <w:szCs w:val="40"/>
        </w:rPr>
      </w:pPr>
      <w:r>
        <w:rPr>
          <w:rFonts w:hint="eastAsia" w:ascii="黑体" w:hAnsi="黑体" w:eastAsia="黑体" w:cs="方正黑体_GBK"/>
          <w:sz w:val="32"/>
          <w:szCs w:val="40"/>
        </w:rPr>
        <w:t>一、竞赛主题</w:t>
      </w:r>
    </w:p>
    <w:p>
      <w:pPr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 xml:space="preserve">弘扬工匠精神 </w:t>
      </w:r>
      <w:r>
        <w:rPr>
          <w:rFonts w:ascii="仿宋_GB2312" w:hAnsi="方正仿宋_GBK" w:eastAsia="仿宋_GB2312" w:cs="方正仿宋_GBK"/>
          <w:sz w:val="32"/>
          <w:szCs w:val="40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建设健康北京</w:t>
      </w:r>
    </w:p>
    <w:p>
      <w:pPr>
        <w:suppressAutoHyphens/>
        <w:ind w:firstLine="640" w:firstLineChars="200"/>
        <w:rPr>
          <w:rFonts w:ascii="黑体" w:hAnsi="黑体" w:eastAsia="黑体" w:cs="方正黑体_GBK"/>
          <w:sz w:val="32"/>
          <w:szCs w:val="40"/>
        </w:rPr>
      </w:pPr>
      <w:r>
        <w:rPr>
          <w:rFonts w:hint="eastAsia" w:ascii="黑体" w:hAnsi="黑体" w:eastAsia="黑体" w:cs="方正黑体_GBK"/>
          <w:sz w:val="32"/>
          <w:szCs w:val="40"/>
        </w:rPr>
        <w:t>二、竞赛目的</w:t>
      </w:r>
    </w:p>
    <w:p>
      <w:pPr>
        <w:jc w:val="center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在本市卫生健康系统范围内，开展“北京市卫生健康系</w:t>
      </w:r>
    </w:p>
    <w:p>
      <w:pPr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>统职业技能竞赛-中药调剂竞赛”，以赛促用，内强素质、外树形象，激励广大中医药工作人员钻研业务、岗位练兵，切实提高理论水平和操作技能，展现中医药系统勤奋学习、精通业务、爱岗敬业、积极向上的精神风貌和良好社会形象。</w:t>
      </w:r>
    </w:p>
    <w:p>
      <w:pPr>
        <w:suppressAutoHyphens/>
        <w:ind w:firstLine="640" w:firstLineChars="200"/>
        <w:rPr>
          <w:rFonts w:hint="eastAsia" w:ascii="黑体" w:hAnsi="黑体" w:eastAsia="黑体" w:cs="方正黑体_GBK"/>
          <w:sz w:val="32"/>
          <w:szCs w:val="40"/>
          <w:lang w:eastAsia="zh-CN"/>
        </w:rPr>
      </w:pPr>
      <w:r>
        <w:rPr>
          <w:rFonts w:hint="eastAsia" w:ascii="黑体" w:hAnsi="黑体" w:eastAsia="黑体" w:cs="方正黑体_GBK"/>
          <w:sz w:val="32"/>
          <w:szCs w:val="40"/>
        </w:rPr>
        <w:t>三、</w:t>
      </w:r>
      <w:r>
        <w:rPr>
          <w:rFonts w:hint="eastAsia" w:ascii="黑体" w:hAnsi="黑体" w:eastAsia="黑体" w:cs="方正黑体_GBK"/>
          <w:sz w:val="32"/>
          <w:szCs w:val="40"/>
          <w:lang w:eastAsia="zh-CN"/>
        </w:rPr>
        <w:t>组织领导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本次竞赛由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北京市卫生健康委员会、北京市总工会、北京市中医管理局主办，北京中医药学会与北京中西医结合学会联合承办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，并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成立组委会。竞赛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分为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初赛、复赛和决赛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初赛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由各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市属（含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央属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公立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医疗机构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和各区卫健委组织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辖区内各级各类医疗机构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（除市属、央属公立医疗机构外）开展，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复赛和决赛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由组委会组织开展。</w:t>
      </w:r>
    </w:p>
    <w:p>
      <w:pPr>
        <w:suppressAutoHyphens/>
        <w:ind w:firstLine="640" w:firstLineChars="200"/>
        <w:rPr>
          <w:rFonts w:ascii="黑体" w:hAnsi="黑体" w:eastAsia="黑体" w:cs="方正黑体_GBK"/>
          <w:sz w:val="32"/>
          <w:szCs w:val="40"/>
        </w:rPr>
      </w:pPr>
      <w:r>
        <w:rPr>
          <w:rFonts w:hint="eastAsia" w:ascii="黑体" w:hAnsi="黑体" w:eastAsia="黑体" w:cs="方正黑体_GBK"/>
          <w:sz w:val="32"/>
          <w:szCs w:val="40"/>
        </w:rPr>
        <w:t>四、参赛人员要求</w:t>
      </w:r>
    </w:p>
    <w:p>
      <w:pPr>
        <w:spacing w:line="360" w:lineRule="auto"/>
        <w:ind w:firstLine="0" w:firstLineChars="0"/>
        <w:rPr>
          <w:rFonts w:hint="eastAsia"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各级各类医疗机构从事中药服务工作的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中药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专业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技术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人员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符合以下条件的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均可参加竞赛：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（一）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具有良好的思想政治素质和优良的道德品质。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（二）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目前在岗在编的正式工作人员，或机构聘用、人事部门认可的正式工作人员，从事中药药学服务工作满五年（截至2023年5月1日），具有中药师及以上职称的中药专业技术人员。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（三）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爱岗敬业，甘于奉献，具有扎实的专业知识和精湛的专业技能。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（四）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医德医风好，群众口碑好，责任心强，既往无调配事故和违纪情况。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（五）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身体健康，无不良习惯，团队意识强。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（六）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获得国家中药特色技术人才培训合格证书、北京市中药骨干人才称号、北京市中医管理局药剂质控中心组织的中药鉴定技能培训合格证书（中药验收人员）的药师，在同等条件下应予优先推荐参加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复赛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。</w:t>
      </w:r>
    </w:p>
    <w:p>
      <w:pPr>
        <w:suppressAutoHyphens/>
        <w:ind w:firstLine="640" w:firstLineChars="200"/>
        <w:rPr>
          <w:rFonts w:ascii="黑体" w:hAnsi="黑体" w:eastAsia="黑体" w:cs="方正黑体_GBK"/>
          <w:sz w:val="32"/>
          <w:szCs w:val="40"/>
        </w:rPr>
      </w:pPr>
      <w:r>
        <w:rPr>
          <w:rFonts w:hint="eastAsia" w:ascii="黑体" w:hAnsi="黑体" w:eastAsia="黑体" w:cs="方正黑体_GBK"/>
          <w:sz w:val="32"/>
          <w:szCs w:val="40"/>
        </w:rPr>
        <w:t>五、赛事安排</w:t>
      </w:r>
    </w:p>
    <w:p>
      <w:pPr>
        <w:numPr>
          <w:ilvl w:val="0"/>
          <w:numId w:val="0"/>
        </w:numPr>
        <w:autoSpaceDN w:val="0"/>
        <w:adjustRightInd w:val="0"/>
        <w:snapToGrid w:val="0"/>
        <w:spacing w:line="240" w:lineRule="auto"/>
        <w:ind w:firstLine="320" w:firstLineChars="100"/>
        <w:rPr>
          <w:rFonts w:hint="eastAsia" w:ascii="楷体_GB2312" w:hAnsi="Times New Roman" w:eastAsia="楷体_GB2312" w:cs="楷体"/>
          <w:bCs/>
          <w:sz w:val="32"/>
          <w:szCs w:val="32"/>
        </w:rPr>
      </w:pPr>
      <w:r>
        <w:rPr>
          <w:rFonts w:hint="eastAsia" w:ascii="楷体_GB2312" w:hAnsi="Times New Roman" w:eastAsia="楷体_GB2312" w:cs="楷体"/>
          <w:bCs/>
          <w:sz w:val="32"/>
          <w:szCs w:val="32"/>
        </w:rPr>
        <w:t>（一）初赛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1.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市属（含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央属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公立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医疗机构由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各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单位自行组织初赛，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初赛内容应包括复赛和决赛的各项目，形式自定。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经初赛后，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各单位可推荐不超过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3名中药师参加复赛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方正黑体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>2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.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各区卫健委负责组织本辖区内各级各类医疗机构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（除市属、央属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公立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医疗机构外）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初赛，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初赛内容应包括复赛和决赛的各项目，形式自定。经初赛后，各区可推荐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区（县 ）级医疗机构、乡镇（社区）医疗机构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中药师各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3名参加复赛。</w:t>
      </w:r>
    </w:p>
    <w:p>
      <w:pPr>
        <w:numPr>
          <w:ilvl w:val="0"/>
          <w:numId w:val="0"/>
        </w:numPr>
        <w:autoSpaceDN w:val="0"/>
        <w:adjustRightInd w:val="0"/>
        <w:snapToGrid w:val="0"/>
        <w:spacing w:line="240" w:lineRule="auto"/>
        <w:ind w:firstLine="640" w:firstLineChars="200"/>
        <w:rPr>
          <w:rFonts w:hint="eastAsia" w:ascii="楷体_GB2312" w:hAnsi="Times New Roman" w:eastAsia="楷体_GB2312" w:cs="楷体"/>
          <w:bCs/>
          <w:sz w:val="32"/>
          <w:szCs w:val="32"/>
        </w:rPr>
      </w:pPr>
      <w:r>
        <w:rPr>
          <w:rFonts w:hint="eastAsia" w:ascii="楷体_GB2312" w:hAnsi="Times New Roman" w:eastAsia="楷体_GB2312" w:cs="楷体"/>
          <w:bCs/>
          <w:sz w:val="32"/>
          <w:szCs w:val="32"/>
          <w:lang w:eastAsia="zh-CN"/>
        </w:rPr>
        <w:t>（二）</w:t>
      </w:r>
      <w:r>
        <w:rPr>
          <w:rFonts w:hint="eastAsia" w:ascii="楷体_GB2312" w:hAnsi="Times New Roman" w:eastAsia="楷体_GB2312" w:cs="楷体"/>
          <w:bCs/>
          <w:sz w:val="32"/>
          <w:szCs w:val="32"/>
        </w:rPr>
        <w:t>复赛</w:t>
      </w:r>
    </w:p>
    <w:p>
      <w:pPr>
        <w:spacing w:line="360" w:lineRule="auto"/>
        <w:ind w:firstLine="640" w:firstLineChars="200"/>
        <w:rPr>
          <w:rFonts w:hint="eastAsia"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竞赛组委会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统一组织复赛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。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按选手比赛成绩由高至低排序，市属（含中央在京）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公立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医疗机构12名，区（县 ）级医疗机构10名、乡镇（社区）医疗机构10名药师晋级决赛。</w:t>
      </w:r>
    </w:p>
    <w:p>
      <w:pPr>
        <w:spacing w:line="360" w:lineRule="auto"/>
        <w:ind w:firstLine="640" w:firstLineChars="200"/>
        <w:rPr>
          <w:rFonts w:hint="eastAsia"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>复赛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采取笔试形式，内容为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中药饮片相关法规（含规范性文件）、中药基础理论（中药炮制学、中药鉴定学、中药学）和中药饮片处方审方的理论考试，包括相关法规和规范性文件；中药饮片调剂、审方、煎服法等相关专业知识。</w:t>
      </w:r>
    </w:p>
    <w:p>
      <w:pPr>
        <w:numPr>
          <w:ilvl w:val="0"/>
          <w:numId w:val="0"/>
        </w:numPr>
        <w:autoSpaceDN w:val="0"/>
        <w:adjustRightInd w:val="0"/>
        <w:snapToGrid w:val="0"/>
        <w:spacing w:line="240" w:lineRule="auto"/>
        <w:ind w:firstLine="640" w:firstLineChars="200"/>
        <w:rPr>
          <w:rFonts w:hint="eastAsia" w:ascii="楷体_GB2312" w:hAnsi="Times New Roman" w:eastAsia="楷体_GB2312" w:cs="楷体"/>
          <w:bCs/>
          <w:sz w:val="32"/>
          <w:szCs w:val="32"/>
        </w:rPr>
      </w:pPr>
      <w:r>
        <w:rPr>
          <w:rFonts w:hint="eastAsia" w:ascii="楷体_GB2312" w:hAnsi="Times New Roman" w:eastAsia="楷体_GB2312" w:cs="楷体"/>
          <w:bCs/>
          <w:sz w:val="32"/>
          <w:szCs w:val="32"/>
          <w:lang w:eastAsia="zh-CN"/>
        </w:rPr>
        <w:t>（三）</w:t>
      </w:r>
      <w:r>
        <w:rPr>
          <w:rFonts w:hint="eastAsia" w:ascii="楷体_GB2312" w:hAnsi="Times New Roman" w:eastAsia="楷体_GB2312" w:cs="楷体"/>
          <w:bCs/>
          <w:sz w:val="32"/>
          <w:szCs w:val="32"/>
        </w:rPr>
        <w:t>决赛</w:t>
      </w:r>
    </w:p>
    <w:p>
      <w:pPr>
        <w:suppressAutoHyphens/>
        <w:ind w:firstLine="640"/>
        <w:jc w:val="left"/>
        <w:rPr>
          <w:rFonts w:hint="eastAsia"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竞赛组委会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统一组织决赛。</w:t>
      </w:r>
    </w:p>
    <w:p>
      <w:pPr>
        <w:suppressAutoHyphens/>
        <w:spacing w:line="360" w:lineRule="auto"/>
        <w:ind w:firstLine="640" w:firstLineChars="200"/>
        <w:rPr>
          <w:rFonts w:ascii="仿宋_GB2312" w:hAnsi="方正仿宋_GBK" w:eastAsia="仿宋_GB2312" w:cs="方正仿宋_GBK"/>
          <w:strike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决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赛为技能操作竞赛，由“中药饮片辨识”和“中药饮片调剂”两部分构成。中药饮片辨识包括中药饮片性状鉴别、真伪鉴别两部分内容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，性状鉴别是根据性状鉴别特点，明确中药饮片的名称、来源、鉴别要点、功效及临床应用；真伪鉴别是判断正品还是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伪劣品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。中药饮片调剂包括中药饮片调剂操作与用药交代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，要求调剂操作规范，剂量准确，脚注处理合理，包装美观牢固、调剂台整洁、用药交代规范。</w:t>
      </w:r>
    </w:p>
    <w:p>
      <w:pPr>
        <w:suppressAutoHyphens/>
        <w:ind w:firstLine="0" w:firstLineChars="0"/>
        <w:jc w:val="left"/>
        <w:rPr>
          <w:rFonts w:ascii="黑体" w:hAnsi="黑体" w:eastAsia="黑体" w:cs="方正黑体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 xml:space="preserve">    </w:t>
      </w:r>
      <w:r>
        <w:rPr>
          <w:rFonts w:hint="eastAsia" w:ascii="黑体" w:hAnsi="黑体" w:eastAsia="黑体" w:cs="方正黑体_GBK"/>
          <w:sz w:val="32"/>
          <w:szCs w:val="40"/>
          <w:lang w:eastAsia="zh-CN"/>
        </w:rPr>
        <w:t>六</w:t>
      </w:r>
      <w:r>
        <w:rPr>
          <w:rFonts w:hint="eastAsia" w:ascii="黑体" w:hAnsi="黑体" w:eastAsia="黑体" w:cs="方正黑体_GBK"/>
          <w:sz w:val="32"/>
          <w:szCs w:val="40"/>
        </w:rPr>
        <w:t>、奖项设置</w:t>
      </w:r>
    </w:p>
    <w:p>
      <w:pPr>
        <w:autoSpaceDN w:val="0"/>
        <w:adjustRightInd w:val="0"/>
        <w:snapToGrid w:val="0"/>
        <w:ind w:firstLine="640" w:firstLineChars="200"/>
        <w:rPr>
          <w:rFonts w:hint="eastAsia" w:ascii="楷体_GB2312" w:eastAsia="楷体_GB2312" w:cs="楷体"/>
          <w:bCs/>
          <w:sz w:val="32"/>
          <w:szCs w:val="32"/>
        </w:rPr>
      </w:pPr>
      <w:r>
        <w:rPr>
          <w:rFonts w:hint="eastAsia" w:ascii="楷体_GB2312" w:hAnsi="Times New Roman" w:eastAsia="楷体_GB2312" w:cs="楷体"/>
          <w:bCs/>
          <w:sz w:val="32"/>
          <w:szCs w:val="32"/>
        </w:rPr>
        <w:t>（一）</w:t>
      </w:r>
      <w:r>
        <w:rPr>
          <w:rFonts w:hint="eastAsia" w:ascii="楷体_GB2312" w:eastAsia="楷体_GB2312" w:cs="楷体"/>
          <w:bCs/>
          <w:sz w:val="32"/>
          <w:szCs w:val="32"/>
        </w:rPr>
        <w:t>个人奖项</w:t>
      </w:r>
    </w:p>
    <w:p>
      <w:pPr>
        <w:spacing w:line="360" w:lineRule="auto"/>
        <w:ind w:firstLine="640" w:firstLineChars="200"/>
        <w:rPr>
          <w:rFonts w:hint="eastAsia"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>1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.个人奖：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按照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竞赛总成绩评出一等奖选手</w:t>
      </w:r>
      <w:r>
        <w:rPr>
          <w:rFonts w:ascii="仿宋_GB2312" w:hAnsi="方正仿宋_GBK" w:eastAsia="仿宋_GB2312" w:cs="方正仿宋_GBK"/>
          <w:sz w:val="32"/>
          <w:szCs w:val="40"/>
        </w:rPr>
        <w:t>1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名；二等奖选手</w:t>
      </w:r>
      <w:r>
        <w:rPr>
          <w:rFonts w:ascii="仿宋_GB2312" w:hAnsi="方正仿宋_GBK" w:eastAsia="仿宋_GB2312" w:cs="方正仿宋_GBK"/>
          <w:sz w:val="32"/>
          <w:szCs w:val="40"/>
        </w:rPr>
        <w:t>3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名；三等奖选手</w:t>
      </w:r>
      <w:r>
        <w:rPr>
          <w:rFonts w:ascii="仿宋_GB2312" w:hAnsi="方正仿宋_GBK" w:eastAsia="仿宋_GB2312" w:cs="方正仿宋_GBK"/>
          <w:sz w:val="32"/>
          <w:szCs w:val="40"/>
        </w:rPr>
        <w:t>6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名；优秀奖10名。</w:t>
      </w:r>
    </w:p>
    <w:p>
      <w:pPr>
        <w:spacing w:line="360" w:lineRule="auto"/>
        <w:ind w:firstLine="640" w:firstLineChars="200"/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2.单项优胜奖：设理论竞赛、中药辨识鉴别、中药调剂技能操作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单项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奖，分别由单项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成绩前3名选手获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得。</w:t>
      </w:r>
    </w:p>
    <w:p>
      <w:pPr>
        <w:spacing w:line="360" w:lineRule="auto"/>
        <w:ind w:firstLine="640" w:firstLineChars="200"/>
        <w:rPr>
          <w:rFonts w:ascii="仿宋_GB2312" w:hAnsi="方正仿宋_GBK" w:eastAsia="仿宋_GB2312" w:cs="方正仿宋_GBK"/>
          <w:sz w:val="32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3.获个人一等奖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，</w:t>
      </w:r>
      <w:r>
        <w:rPr>
          <w:rFonts w:hint="eastAsia" w:ascii="仿宋_GB2312" w:hAnsi="方正仿宋_GBK" w:eastAsia="仿宋_GB2312" w:cs="方正仿宋_GBK"/>
          <w:sz w:val="32"/>
        </w:rPr>
        <w:t>符合推荐条件，由选手所在单位在次年度按程序优先推荐</w:t>
      </w:r>
      <w:r>
        <w:rPr>
          <w:rFonts w:hint="eastAsia" w:ascii="仿宋_GB2312" w:hAnsi="方正仿宋_GBK" w:eastAsia="仿宋_GB2312" w:cs="方正仿宋_GBK"/>
          <w:sz w:val="32"/>
          <w:lang w:eastAsia="zh-CN"/>
        </w:rPr>
        <w:t>参加</w:t>
      </w:r>
      <w:r>
        <w:rPr>
          <w:rFonts w:hint="eastAsia" w:ascii="仿宋_GB2312" w:hAnsi="方正仿宋_GBK" w:eastAsia="仿宋_GB2312" w:cs="方正仿宋_GBK"/>
          <w:sz w:val="32"/>
        </w:rPr>
        <w:t>“首都劳动奖章”评选。</w:t>
      </w:r>
    </w:p>
    <w:p>
      <w:pPr>
        <w:ind w:firstLine="640" w:firstLineChars="200"/>
        <w:rPr>
          <w:rFonts w:hint="eastAsia" w:ascii="楷体_GB2312" w:hAnsi="Times New Roman" w:eastAsia="楷体_GB2312" w:cs="楷体"/>
          <w:bCs/>
          <w:sz w:val="32"/>
          <w:szCs w:val="32"/>
        </w:rPr>
      </w:pPr>
      <w:r>
        <w:rPr>
          <w:rFonts w:hint="eastAsia" w:ascii="楷体_GB2312" w:eastAsia="楷体_GB2312" w:cs="楷体"/>
          <w:bCs/>
          <w:sz w:val="32"/>
          <w:szCs w:val="32"/>
        </w:rPr>
        <w:t>（二）团体奖项</w:t>
      </w:r>
    </w:p>
    <w:p>
      <w:pPr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仿宋_GB2312" w:hAnsi="方正仿宋_GBK" w:eastAsia="仿宋_GB2312" w:cs="方正仿宋_GBK"/>
          <w:sz w:val="32"/>
          <w:szCs w:val="40"/>
        </w:rPr>
        <w:t>1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.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对竞赛开展过程中，活动覆盖面大、职工参与率高、工作成绩突出的单位评出一等奖1名，二等奖2名，三等奖7名，优秀组织奖10名。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方正仿宋_GBK" w:eastAsia="仿宋_GB2312" w:cs="方正仿宋_GBK"/>
          <w:sz w:val="32"/>
        </w:rPr>
        <w:t>2</w:t>
      </w:r>
      <w:r>
        <w:rPr>
          <w:rFonts w:hint="eastAsia" w:ascii="仿宋_GB2312" w:hAnsi="方正仿宋_GBK" w:eastAsia="仿宋_GB2312" w:cs="方正仿宋_GBK"/>
          <w:sz w:val="32"/>
          <w:lang w:val="en-US" w:eastAsia="zh-CN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团体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奖项一等奖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的参赛集体，按照首都劳动奖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、北京市工人先锋号评选条件，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可优先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向市总工会推荐参加评选。</w:t>
      </w:r>
    </w:p>
    <w:p>
      <w:pPr>
        <w:suppressAutoHyphens/>
        <w:ind w:firstLine="640" w:firstLineChars="200"/>
        <w:rPr>
          <w:rFonts w:ascii="黑体" w:hAnsi="黑体" w:eastAsia="黑体" w:cs="方正黑体_GBK"/>
          <w:sz w:val="32"/>
          <w:szCs w:val="40"/>
        </w:rPr>
      </w:pPr>
      <w:r>
        <w:rPr>
          <w:rFonts w:hint="eastAsia" w:ascii="黑体" w:hAnsi="黑体" w:eastAsia="黑体" w:cs="方正黑体_GBK"/>
          <w:sz w:val="32"/>
          <w:szCs w:val="40"/>
        </w:rPr>
        <w:t>八、工作要求</w:t>
      </w:r>
    </w:p>
    <w:p>
      <w:pPr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楷体_GB2312" w:eastAsia="楷体_GB2312" w:cs="楷体"/>
          <w:bCs/>
          <w:sz w:val="32"/>
          <w:szCs w:val="32"/>
        </w:rPr>
        <w:t>(一)高度重视。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要充分认识本次竞赛对加强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中医药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系统人才队伍建设、促进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中医药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高质量发展的重要意义，切实加强对竞赛组织领导，扎实做好各项工作。</w:t>
      </w:r>
    </w:p>
    <w:p>
      <w:pPr>
        <w:adjustRightInd w:val="0"/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楷体_GB2312" w:eastAsia="楷体_GB2312" w:cs="楷体"/>
          <w:bCs/>
          <w:sz w:val="32"/>
          <w:szCs w:val="32"/>
        </w:rPr>
        <w:t>(二)精心组织。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要将公平公正作为办赛的“生命线”，着力提高竞赛质量，精心设计比赛环节，突出对从业人员工作理论和技能的考核，以赛促培、以赛促训。要严格遵守中央八项规定精神,节俭办赛、廉洁办赛,务求实效。</w:t>
      </w:r>
    </w:p>
    <w:p>
      <w:pPr>
        <w:ind w:firstLine="640" w:firstLineChars="200"/>
        <w:rPr>
          <w:rFonts w:ascii="仿宋_GB2312" w:hAnsi="方正仿宋_GBK" w:eastAsia="仿宋_GB2312" w:cs="方正仿宋_GBK"/>
          <w:sz w:val="32"/>
          <w:szCs w:val="40"/>
        </w:rPr>
      </w:pPr>
      <w:r>
        <w:rPr>
          <w:rFonts w:hint="eastAsia" w:ascii="楷体_GB2312" w:eastAsia="楷体_GB2312" w:cs="楷体"/>
          <w:bCs/>
          <w:sz w:val="32"/>
          <w:szCs w:val="32"/>
        </w:rPr>
        <w:t>(三)确保安全。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要认真制定卫生、安全应急预案，落实公共卫生、消防、人身等安全责任，确保竞赛稳妥、安全、有序开展。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40"/>
        </w:rPr>
      </w:pPr>
      <w:r>
        <w:rPr>
          <w:rFonts w:hint="eastAsia" w:ascii="楷体_GB2312" w:eastAsia="楷体_GB2312" w:cs="楷体"/>
          <w:bCs/>
          <w:sz w:val="32"/>
          <w:szCs w:val="32"/>
        </w:rPr>
        <w:t>(四)加强宣传。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要将宣传报道工作贯穿竞赛始终，充分利用各类媒体持续开展宣传活动，全过程、多角度展现竞赛主题和亮点，持续扩大竞赛的影响。</w:t>
      </w:r>
    </w:p>
    <w:p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</w:pPr>
    </w:p>
    <w:p>
      <w:pPr>
        <w:ind w:firstLine="640" w:firstLineChars="200"/>
        <w:jc w:val="left"/>
        <w:rPr>
          <w:rFonts w:hint="default" w:ascii="仿宋_GB2312" w:hAnsi="方正仿宋_GBK" w:eastAsia="仿宋_GB2312" w:cs="方正仿宋_GBK"/>
          <w:sz w:val="32"/>
          <w:szCs w:val="40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附：</w:t>
      </w: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1.关于全国卫生健康系统职业技能竞赛-中药调剂竞赛有关事项的通知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2.北京市卫生健康系统职业技能竞赛-中药调剂竞赛竞赛内容及方式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方正仿宋_GBK" w:eastAsia="仿宋_GB2312" w:cs="方正仿宋_GBK"/>
          <w:color w:val="ED7D31" w:themeColor="accent2"/>
          <w:sz w:val="32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方正仿宋_GBK" w:eastAsia="仿宋_GB2312" w:cs="方正仿宋_GBK"/>
          <w:sz w:val="32"/>
          <w:szCs w:val="40"/>
          <w:lang w:val="en-US" w:eastAsia="zh-CN"/>
        </w:rPr>
        <w:t>3.</w:t>
      </w:r>
      <w:r>
        <w:rPr>
          <w:rFonts w:hint="eastAsia" w:ascii="仿宋_GB2312" w:hAnsi="方正仿宋_GBK" w:eastAsia="仿宋_GB2312" w:cs="方正仿宋_GBK"/>
          <w:sz w:val="32"/>
          <w:szCs w:val="40"/>
        </w:rPr>
        <w:t>北京市卫生健康系统职业技能竞赛-中药调剂竞赛复赛推荐人员名单</w:t>
      </w:r>
      <w:r>
        <w:rPr>
          <w:rFonts w:hint="eastAsia" w:ascii="仿宋_GB2312" w:hAnsi="方正仿宋_GBK" w:eastAsia="仿宋_GB2312" w:cs="方正仿宋_GBK"/>
          <w:sz w:val="32"/>
          <w:szCs w:val="40"/>
          <w:lang w:eastAsia="zh-CN"/>
        </w:rPr>
        <w:t>汇总表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2YjZmMWRkMTEzMzI1Y2Y2YWExYTI1M2U3Nzc2NTIifQ=="/>
    <w:docVar w:name="KY_MEDREF_DOCUID" w:val="{B1198118-45A2-4CBC-83C9-4E0BC2ABD374}"/>
    <w:docVar w:name="KY_MEDREF_VERSION" w:val="3"/>
  </w:docVars>
  <w:rsids>
    <w:rsidRoot w:val="00577177"/>
    <w:rsid w:val="000500B0"/>
    <w:rsid w:val="0006148B"/>
    <w:rsid w:val="00064A63"/>
    <w:rsid w:val="000A4F84"/>
    <w:rsid w:val="000D0C6C"/>
    <w:rsid w:val="000E58A2"/>
    <w:rsid w:val="000F3F5E"/>
    <w:rsid w:val="00114D94"/>
    <w:rsid w:val="00120D35"/>
    <w:rsid w:val="00122DAF"/>
    <w:rsid w:val="0013139C"/>
    <w:rsid w:val="00133A27"/>
    <w:rsid w:val="001B066D"/>
    <w:rsid w:val="001D50AE"/>
    <w:rsid w:val="001E5098"/>
    <w:rsid w:val="0020619E"/>
    <w:rsid w:val="002065E7"/>
    <w:rsid w:val="0020660F"/>
    <w:rsid w:val="00210A9F"/>
    <w:rsid w:val="002222A8"/>
    <w:rsid w:val="00240198"/>
    <w:rsid w:val="002412E3"/>
    <w:rsid w:val="00253165"/>
    <w:rsid w:val="002B271B"/>
    <w:rsid w:val="002E02CF"/>
    <w:rsid w:val="003124B6"/>
    <w:rsid w:val="00324368"/>
    <w:rsid w:val="00326D26"/>
    <w:rsid w:val="00333F09"/>
    <w:rsid w:val="003764DE"/>
    <w:rsid w:val="003807F9"/>
    <w:rsid w:val="003D7FD7"/>
    <w:rsid w:val="003F24FF"/>
    <w:rsid w:val="003F5E9F"/>
    <w:rsid w:val="00411B86"/>
    <w:rsid w:val="004210E0"/>
    <w:rsid w:val="00440DDF"/>
    <w:rsid w:val="00444F2D"/>
    <w:rsid w:val="00445984"/>
    <w:rsid w:val="00461108"/>
    <w:rsid w:val="004963B9"/>
    <w:rsid w:val="004A2B37"/>
    <w:rsid w:val="004A3493"/>
    <w:rsid w:val="004A51B0"/>
    <w:rsid w:val="004B3A20"/>
    <w:rsid w:val="004F17B4"/>
    <w:rsid w:val="00510A34"/>
    <w:rsid w:val="00514CAB"/>
    <w:rsid w:val="00546FA6"/>
    <w:rsid w:val="00577177"/>
    <w:rsid w:val="005914A1"/>
    <w:rsid w:val="005B78E6"/>
    <w:rsid w:val="005B7CFF"/>
    <w:rsid w:val="005C06CA"/>
    <w:rsid w:val="00631BDE"/>
    <w:rsid w:val="0064109A"/>
    <w:rsid w:val="0065500B"/>
    <w:rsid w:val="00655045"/>
    <w:rsid w:val="0069663F"/>
    <w:rsid w:val="006A5AE0"/>
    <w:rsid w:val="006C3641"/>
    <w:rsid w:val="006F0A96"/>
    <w:rsid w:val="007056EC"/>
    <w:rsid w:val="00711EF1"/>
    <w:rsid w:val="00756735"/>
    <w:rsid w:val="00773467"/>
    <w:rsid w:val="007952A2"/>
    <w:rsid w:val="007A56DD"/>
    <w:rsid w:val="007B1CA3"/>
    <w:rsid w:val="00813B75"/>
    <w:rsid w:val="00840055"/>
    <w:rsid w:val="00871542"/>
    <w:rsid w:val="0088423D"/>
    <w:rsid w:val="008B6DC1"/>
    <w:rsid w:val="008D0B99"/>
    <w:rsid w:val="00937086"/>
    <w:rsid w:val="00941085"/>
    <w:rsid w:val="009B6286"/>
    <w:rsid w:val="009D05E1"/>
    <w:rsid w:val="009E7FC6"/>
    <w:rsid w:val="009F063D"/>
    <w:rsid w:val="009F0A77"/>
    <w:rsid w:val="00A076D1"/>
    <w:rsid w:val="00A44614"/>
    <w:rsid w:val="00A52B36"/>
    <w:rsid w:val="00A65E23"/>
    <w:rsid w:val="00A66579"/>
    <w:rsid w:val="00A766FA"/>
    <w:rsid w:val="00A87E99"/>
    <w:rsid w:val="00AA5F77"/>
    <w:rsid w:val="00AE206D"/>
    <w:rsid w:val="00AE4103"/>
    <w:rsid w:val="00AF6113"/>
    <w:rsid w:val="00B340EE"/>
    <w:rsid w:val="00B357B1"/>
    <w:rsid w:val="00B50077"/>
    <w:rsid w:val="00B54CCB"/>
    <w:rsid w:val="00B85459"/>
    <w:rsid w:val="00B92D67"/>
    <w:rsid w:val="00BB7E97"/>
    <w:rsid w:val="00BD0D40"/>
    <w:rsid w:val="00C70663"/>
    <w:rsid w:val="00C878AF"/>
    <w:rsid w:val="00CC3B5A"/>
    <w:rsid w:val="00CC3E71"/>
    <w:rsid w:val="00D05919"/>
    <w:rsid w:val="00D241D6"/>
    <w:rsid w:val="00D51EB5"/>
    <w:rsid w:val="00D61F23"/>
    <w:rsid w:val="00DA35AC"/>
    <w:rsid w:val="00DB7D32"/>
    <w:rsid w:val="00DC3C41"/>
    <w:rsid w:val="00DF0EA6"/>
    <w:rsid w:val="00E27AA7"/>
    <w:rsid w:val="00E520AA"/>
    <w:rsid w:val="00E74E70"/>
    <w:rsid w:val="00E96A46"/>
    <w:rsid w:val="00EB181D"/>
    <w:rsid w:val="00F01CC4"/>
    <w:rsid w:val="00F05316"/>
    <w:rsid w:val="00F27CDC"/>
    <w:rsid w:val="00F95429"/>
    <w:rsid w:val="00FA46A4"/>
    <w:rsid w:val="00FB4B50"/>
    <w:rsid w:val="00FC1718"/>
    <w:rsid w:val="01677D08"/>
    <w:rsid w:val="01E339C2"/>
    <w:rsid w:val="073F1D4A"/>
    <w:rsid w:val="0F8B17A7"/>
    <w:rsid w:val="0FB71388"/>
    <w:rsid w:val="12BC3182"/>
    <w:rsid w:val="15107706"/>
    <w:rsid w:val="16F31369"/>
    <w:rsid w:val="17634E22"/>
    <w:rsid w:val="1DD62095"/>
    <w:rsid w:val="1FD25F26"/>
    <w:rsid w:val="29B67F1F"/>
    <w:rsid w:val="2EFA351F"/>
    <w:rsid w:val="2F1F5CDD"/>
    <w:rsid w:val="30D53BBD"/>
    <w:rsid w:val="324D277E"/>
    <w:rsid w:val="37191460"/>
    <w:rsid w:val="3AD56772"/>
    <w:rsid w:val="3C792719"/>
    <w:rsid w:val="3CC869F0"/>
    <w:rsid w:val="3F085D0C"/>
    <w:rsid w:val="41362196"/>
    <w:rsid w:val="481100A8"/>
    <w:rsid w:val="49C5081B"/>
    <w:rsid w:val="4AAC2736"/>
    <w:rsid w:val="4DEB9B0E"/>
    <w:rsid w:val="521B7C1C"/>
    <w:rsid w:val="55FB020F"/>
    <w:rsid w:val="59007386"/>
    <w:rsid w:val="5DD87DF0"/>
    <w:rsid w:val="5F3467FC"/>
    <w:rsid w:val="600B2B2E"/>
    <w:rsid w:val="62763DF1"/>
    <w:rsid w:val="644175DA"/>
    <w:rsid w:val="658D0EB4"/>
    <w:rsid w:val="66E13E8F"/>
    <w:rsid w:val="67254201"/>
    <w:rsid w:val="6A94137E"/>
    <w:rsid w:val="6B776A3B"/>
    <w:rsid w:val="6F4D3A3D"/>
    <w:rsid w:val="73FB6A64"/>
    <w:rsid w:val="741720DD"/>
    <w:rsid w:val="77376CE4"/>
    <w:rsid w:val="7A6A0366"/>
    <w:rsid w:val="7E4F24CC"/>
    <w:rsid w:val="7EE65067"/>
    <w:rsid w:val="7F2E762D"/>
    <w:rsid w:val="7F78540D"/>
    <w:rsid w:val="8BCA778D"/>
    <w:rsid w:val="9A9F0BC1"/>
    <w:rsid w:val="9F67F73D"/>
    <w:rsid w:val="CF24E47D"/>
    <w:rsid w:val="DDFD6CD7"/>
    <w:rsid w:val="DE6E502A"/>
    <w:rsid w:val="E77FE607"/>
    <w:rsid w:val="E7AF8AEB"/>
    <w:rsid w:val="FAD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547</Words>
  <Characters>3122</Characters>
  <Lines>26</Lines>
  <Paragraphs>7</Paragraphs>
  <TotalTime>87</TotalTime>
  <ScaleCrop>false</ScaleCrop>
  <LinksUpToDate>false</LinksUpToDate>
  <CharactersWithSpaces>3662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2023-09-21T12:21:00Z</dcterms:created>
  <dc:creator>郭 桂明</dc:creator>
  <cp:lastModifiedBy> 祺</cp:lastModifiedBy>
  <cp:lastPrinted>2023-10-09T15:07:00Z</cp:lastPrinted>
  <dcterms:modified xsi:type="dcterms:W3CDTF">2023-10-09T09:18:46Z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15B98CE04F0946AF9E42221D7EE3C36C_13</vt:lpwstr>
  </property>
</Properties>
</file>