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both"/>
        <w:rPr>
          <w:rFonts w:hint="eastAsia" w:ascii="黑体" w:hAnsi="黑体" w:eastAsia="黑体" w:cs="方正黑体_GBK"/>
          <w:sz w:val="32"/>
          <w:szCs w:val="32"/>
          <w:lang w:val="en-US" w:eastAsia="zh-CN"/>
        </w:rPr>
      </w:pPr>
      <w:r>
        <w:rPr>
          <w:rFonts w:hint="eastAsia" w:ascii="华文中宋" w:hAnsi="华文中宋" w:eastAsia="华文中宋" w:cs="方正小标宋简体"/>
          <w:sz w:val="36"/>
          <w:szCs w:val="36"/>
          <w:lang w:val="en-US" w:eastAsia="zh-CN"/>
        </w:rPr>
        <w:t xml:space="preserve">附件2： </w:t>
      </w:r>
      <w:r>
        <w:rPr>
          <w:rFonts w:hint="eastAsia" w:ascii="黑体" w:hAnsi="黑体" w:eastAsia="黑体" w:cs="方正黑体_GBK"/>
          <w:sz w:val="32"/>
          <w:szCs w:val="32"/>
          <w:lang w:val="en-US" w:eastAsia="zh-CN"/>
        </w:rPr>
        <w:t xml:space="preserve">     </w:t>
      </w:r>
    </w:p>
    <w:p>
      <w:pPr>
        <w:suppressAutoHyphens/>
        <w:jc w:val="center"/>
        <w:rPr>
          <w:rFonts w:hint="default" w:ascii="华文中宋" w:hAnsi="华文中宋" w:eastAsia="华文中宋" w:cs="方正小标宋简体"/>
          <w:sz w:val="36"/>
          <w:szCs w:val="36"/>
          <w:lang w:val="en-US" w:eastAsia="zh-CN"/>
        </w:rPr>
      </w:pPr>
      <w:r>
        <w:rPr>
          <w:rFonts w:hint="eastAsia" w:ascii="华文中宋" w:hAnsi="华文中宋" w:eastAsia="华文中宋" w:cs="方正小标宋简体"/>
          <w:sz w:val="36"/>
          <w:szCs w:val="36"/>
          <w:lang w:val="en-US" w:eastAsia="zh-CN"/>
        </w:rPr>
        <w:t>北京市卫生健康系统职业技能竞赛-</w:t>
      </w:r>
    </w:p>
    <w:p>
      <w:pPr>
        <w:suppressAutoHyphens/>
        <w:jc w:val="center"/>
        <w:rPr>
          <w:rFonts w:hint="eastAsia" w:ascii="黑体" w:hAnsi="黑体" w:eastAsia="黑体" w:cs="黑体"/>
          <w:sz w:val="32"/>
          <w:szCs w:val="32"/>
          <w:lang w:eastAsia="zh-CN"/>
        </w:rPr>
      </w:pPr>
      <w:r>
        <w:rPr>
          <w:rFonts w:hint="eastAsia" w:ascii="华文中宋" w:hAnsi="华文中宋" w:eastAsia="华文中宋" w:cs="方正小标宋简体"/>
          <w:sz w:val="36"/>
          <w:szCs w:val="36"/>
          <w:lang w:val="en-US" w:eastAsia="zh-CN"/>
        </w:rPr>
        <w:t>中药调剂竞赛内容及方式</w:t>
      </w:r>
    </w:p>
    <w:p>
      <w:pPr>
        <w:numPr>
          <w:ilvl w:val="0"/>
          <w:numId w:val="0"/>
        </w:numPr>
        <w:spacing w:line="360" w:lineRule="auto"/>
        <w:ind w:leftChars="300"/>
        <w:rPr>
          <w:rFonts w:hint="eastAsia" w:ascii="黑体" w:hAnsi="黑体" w:eastAsia="黑体" w:cs="黑体"/>
          <w:sz w:val="32"/>
          <w:szCs w:val="32"/>
          <w:lang w:eastAsia="zh-CN"/>
        </w:rPr>
      </w:pPr>
      <w:r>
        <w:rPr>
          <w:rFonts w:hint="eastAsia" w:ascii="黑体" w:hAnsi="黑体" w:eastAsia="黑体" w:cs="黑体"/>
          <w:sz w:val="32"/>
          <w:szCs w:val="32"/>
          <w:lang w:eastAsia="zh-CN"/>
        </w:rPr>
        <w:t>一、初赛</w:t>
      </w:r>
    </w:p>
    <w:p>
      <w:pPr>
        <w:spacing w:line="360" w:lineRule="auto"/>
        <w:ind w:firstLine="640" w:firstLineChars="200"/>
        <w:rPr>
          <w:rFonts w:hint="eastAsia" w:ascii="黑体" w:hAnsi="黑体" w:eastAsia="黑体" w:cs="黑体"/>
          <w:sz w:val="32"/>
          <w:szCs w:val="32"/>
          <w:lang w:eastAsia="zh-CN"/>
        </w:rPr>
      </w:pPr>
      <w:r>
        <w:rPr>
          <w:rFonts w:hint="eastAsia" w:ascii="仿宋_GB2312" w:hAnsi="方正仿宋_GBK" w:eastAsia="仿宋_GB2312" w:cs="方正仿宋_GBK"/>
          <w:sz w:val="32"/>
          <w:szCs w:val="40"/>
        </w:rPr>
        <w:t>市属（含中央在京）医疗机构、各区卫健委组织的本辖区内各级各类医疗机构的初赛由各组织单位根据具体情况自行开展，</w:t>
      </w:r>
      <w:r>
        <w:rPr>
          <w:rFonts w:hint="eastAsia" w:ascii="仿宋_GB2312" w:hAnsi="方正仿宋_GBK" w:eastAsia="仿宋_GB2312" w:cs="方正仿宋_GBK"/>
          <w:sz w:val="32"/>
          <w:szCs w:val="40"/>
          <w:lang w:eastAsia="zh-CN"/>
        </w:rPr>
        <w:t>初赛形式自定。</w:t>
      </w:r>
    </w:p>
    <w:p>
      <w:pPr>
        <w:numPr>
          <w:ilvl w:val="0"/>
          <w:numId w:val="0"/>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复赛</w:t>
      </w:r>
    </w:p>
    <w:p>
      <w:pPr>
        <w:spacing w:line="360" w:lineRule="auto"/>
        <w:ind w:firstLine="640" w:firstLineChars="200"/>
        <w:rPr>
          <w:rFonts w:hint="eastAsia" w:ascii="仿宋_GB2312" w:hAnsi="方正仿宋_GBK" w:eastAsia="仿宋_GB2312" w:cs="方正仿宋_GBK"/>
          <w:sz w:val="32"/>
          <w:szCs w:val="40"/>
        </w:rPr>
      </w:pPr>
      <w:r>
        <w:rPr>
          <w:rFonts w:hint="eastAsia" w:ascii="仿宋_GB2312" w:hAnsi="方正仿宋_GBK" w:eastAsia="仿宋_GB2312" w:cs="方正仿宋_GBK"/>
          <w:sz w:val="32"/>
          <w:szCs w:val="40"/>
          <w:lang w:eastAsia="zh-CN"/>
        </w:rPr>
        <w:t>（一）竞赛</w:t>
      </w:r>
      <w:r>
        <w:rPr>
          <w:rFonts w:hint="eastAsia" w:ascii="仿宋_GB2312" w:hAnsi="方正仿宋_GBK" w:eastAsia="仿宋_GB2312" w:cs="方正仿宋_GBK"/>
          <w:sz w:val="32"/>
          <w:szCs w:val="40"/>
        </w:rPr>
        <w:t>内容</w:t>
      </w:r>
      <w:r>
        <w:rPr>
          <w:rFonts w:hint="eastAsia" w:ascii="仿宋_GB2312" w:hAnsi="方正仿宋_GBK" w:eastAsia="仿宋_GB2312" w:cs="方正仿宋_GBK"/>
          <w:sz w:val="32"/>
          <w:szCs w:val="40"/>
          <w:lang w:eastAsia="zh-CN"/>
        </w:rPr>
        <w:t>。</w:t>
      </w:r>
      <w:r>
        <w:rPr>
          <w:rFonts w:hint="eastAsia" w:ascii="仿宋_GB2312" w:hAnsi="方正仿宋_GBK" w:eastAsia="仿宋_GB2312" w:cs="方正仿宋_GBK"/>
          <w:sz w:val="32"/>
          <w:szCs w:val="40"/>
        </w:rPr>
        <w:t>中药饮片相关法规（含规范性文件）、中药基础理论（中药炮制学、中药鉴定学、中药学）和中药饮片处方审方的理论考试，包括相关法规和规范性文件；中药饮片调剂、审方、煎服法等相关专业知识。</w:t>
      </w:r>
    </w:p>
    <w:p>
      <w:pPr>
        <w:spacing w:line="360" w:lineRule="auto"/>
        <w:ind w:firstLine="640" w:firstLineChars="200"/>
        <w:rPr>
          <w:rFonts w:hint="eastAsia" w:ascii="仿宋_GB2312" w:hAnsi="方正仿宋_GBK" w:eastAsia="仿宋_GB2312" w:cs="方正仿宋_GBK"/>
          <w:sz w:val="32"/>
          <w:szCs w:val="40"/>
        </w:rPr>
      </w:pPr>
      <w:r>
        <w:rPr>
          <w:rFonts w:hint="eastAsia" w:ascii="仿宋_GB2312" w:hAnsi="方正仿宋_GBK" w:eastAsia="仿宋_GB2312" w:cs="方正仿宋_GBK"/>
          <w:sz w:val="32"/>
          <w:szCs w:val="40"/>
          <w:lang w:eastAsia="zh-CN"/>
        </w:rPr>
        <w:t>（二）竞赛</w:t>
      </w:r>
      <w:r>
        <w:rPr>
          <w:rFonts w:hint="eastAsia" w:ascii="仿宋_GB2312" w:hAnsi="方正仿宋_GBK" w:eastAsia="仿宋_GB2312" w:cs="方正仿宋_GBK"/>
          <w:sz w:val="32"/>
          <w:szCs w:val="40"/>
        </w:rPr>
        <w:t>方式</w:t>
      </w:r>
      <w:r>
        <w:rPr>
          <w:rFonts w:hint="eastAsia" w:ascii="仿宋_GB2312" w:hAnsi="方正仿宋_GBK" w:eastAsia="仿宋_GB2312" w:cs="方正仿宋_GBK"/>
          <w:sz w:val="32"/>
          <w:szCs w:val="40"/>
          <w:lang w:eastAsia="zh-CN"/>
        </w:rPr>
        <w:t>。</w:t>
      </w:r>
      <w:r>
        <w:rPr>
          <w:rFonts w:hint="eastAsia" w:ascii="仿宋_GB2312" w:hAnsi="方正仿宋_GBK" w:eastAsia="仿宋_GB2312" w:cs="方正仿宋_GBK"/>
          <w:sz w:val="32"/>
          <w:szCs w:val="40"/>
        </w:rPr>
        <w:t>理论笔试</w:t>
      </w:r>
      <w:r>
        <w:rPr>
          <w:rFonts w:hint="eastAsia" w:ascii="仿宋_GB2312" w:hAnsi="方正仿宋_GBK" w:eastAsia="仿宋_GB2312" w:cs="方正仿宋_GBK"/>
          <w:sz w:val="32"/>
          <w:szCs w:val="40"/>
          <w:lang w:eastAsia="zh-CN"/>
        </w:rPr>
        <w:t>，</w:t>
      </w:r>
      <w:r>
        <w:rPr>
          <w:rFonts w:hint="eastAsia" w:ascii="仿宋_GB2312" w:hAnsi="方正仿宋_GBK" w:eastAsia="仿宋_GB2312" w:cs="方正仿宋_GBK"/>
          <w:sz w:val="32"/>
          <w:szCs w:val="40"/>
        </w:rPr>
        <w:t>选手通过纸质答卷完成。</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决赛</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eastAsia="zh-CN"/>
        </w:rPr>
        <w:t>决赛为技能操作竞赛，由“中药饮片辨识鉴别”和“中药饮片调剂”两部分构成。</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eastAsia="zh-CN"/>
        </w:rPr>
        <w:t>（一）中药饮片辨识鉴别</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val="en-US" w:eastAsia="zh-CN"/>
        </w:rPr>
        <w:t>1.</w:t>
      </w:r>
      <w:r>
        <w:rPr>
          <w:rFonts w:hint="eastAsia" w:ascii="仿宋_GB2312" w:hAnsi="方正仿宋_GBK" w:eastAsia="仿宋_GB2312" w:cs="方正仿宋_GBK"/>
          <w:sz w:val="32"/>
          <w:szCs w:val="40"/>
          <w:lang w:eastAsia="zh-CN"/>
        </w:rPr>
        <w:t>竞赛内容。中药饮片辨识鉴别包括中药饮片性状鉴别、真伪鉴别两部分内容。</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val="en-US" w:eastAsia="zh-CN"/>
        </w:rPr>
        <w:t>2.</w:t>
      </w:r>
      <w:r>
        <w:rPr>
          <w:rFonts w:hint="eastAsia" w:ascii="仿宋_GB2312" w:hAnsi="方正仿宋_GBK" w:eastAsia="仿宋_GB2312" w:cs="方正仿宋_GBK"/>
          <w:sz w:val="32"/>
          <w:szCs w:val="40"/>
          <w:lang w:eastAsia="zh-CN"/>
        </w:rPr>
        <w:t>竞赛方式。参赛选手须对给出的中</w:t>
      </w:r>
      <w:r>
        <w:rPr>
          <w:rFonts w:hint="eastAsia" w:ascii="仿宋_GB2312" w:hAnsi="方正仿宋_GBK" w:eastAsia="仿宋_GB2312" w:cs="方正仿宋_GBK"/>
          <w:sz w:val="32"/>
          <w:szCs w:val="40"/>
          <w:lang w:val="en-US" w:eastAsia="zh-CN"/>
        </w:rPr>
        <w:t>药</w:t>
      </w:r>
      <w:r>
        <w:rPr>
          <w:rFonts w:hint="eastAsia" w:ascii="仿宋_GB2312" w:hAnsi="方正仿宋_GBK" w:eastAsia="仿宋_GB2312" w:cs="方正仿宋_GBK"/>
          <w:sz w:val="32"/>
          <w:szCs w:val="40"/>
          <w:lang w:eastAsia="zh-CN"/>
        </w:rPr>
        <w:t>饮片进行识别，并写出中药饮片名称、来源、用药部位、鉴别要点、功效及临床应用；</w:t>
      </w:r>
      <w:r>
        <w:rPr>
          <w:rFonts w:hint="eastAsia" w:ascii="仿宋_GB2312" w:hAnsi="方正仿宋_GBK" w:eastAsia="仿宋_GB2312" w:cs="方正仿宋_GBK"/>
          <w:sz w:val="32"/>
          <w:szCs w:val="40"/>
          <w:lang w:val="en-US" w:eastAsia="zh-CN"/>
        </w:rPr>
        <w:t>中药饮片鉴别</w:t>
      </w:r>
      <w:r>
        <w:rPr>
          <w:rFonts w:hint="eastAsia" w:ascii="仿宋_GB2312" w:hAnsi="方正仿宋_GBK" w:eastAsia="仿宋_GB2312" w:cs="方正仿宋_GBK"/>
          <w:sz w:val="32"/>
          <w:szCs w:val="40"/>
          <w:lang w:eastAsia="zh-CN"/>
        </w:rPr>
        <w:t>须对给出的中药饮片进行真伪鉴别，判断是正品还是伪劣品。</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eastAsia="zh-CN"/>
        </w:rPr>
        <w:t>（二）中药饮片调剂操作</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val="en-US" w:eastAsia="zh-CN"/>
        </w:rPr>
        <w:t>1.</w:t>
      </w:r>
      <w:r>
        <w:rPr>
          <w:rFonts w:hint="eastAsia" w:ascii="仿宋_GB2312" w:hAnsi="方正仿宋_GBK" w:eastAsia="仿宋_GB2312" w:cs="方正仿宋_GBK"/>
          <w:sz w:val="32"/>
          <w:szCs w:val="40"/>
          <w:lang w:eastAsia="zh-CN"/>
        </w:rPr>
        <w:t>竞赛内容。包括中药饮片调剂操作与用药交代。</w:t>
      </w:r>
    </w:p>
    <w:p>
      <w:pPr>
        <w:spacing w:line="360" w:lineRule="auto"/>
        <w:ind w:firstLine="640" w:firstLineChars="200"/>
        <w:rPr>
          <w:rFonts w:hint="eastAsia" w:ascii="仿宋_GB2312" w:hAnsi="方正仿宋_GBK" w:eastAsia="仿宋_GB2312" w:cs="方正仿宋_GBK"/>
          <w:sz w:val="32"/>
          <w:szCs w:val="40"/>
          <w:lang w:eastAsia="zh-CN"/>
        </w:rPr>
      </w:pPr>
      <w:r>
        <w:rPr>
          <w:rFonts w:hint="eastAsia" w:ascii="仿宋_GB2312" w:hAnsi="方正仿宋_GBK" w:eastAsia="仿宋_GB2312" w:cs="方正仿宋_GBK"/>
          <w:sz w:val="32"/>
          <w:szCs w:val="40"/>
          <w:lang w:val="en-US" w:eastAsia="zh-CN"/>
        </w:rPr>
        <w:t>2.</w:t>
      </w:r>
      <w:r>
        <w:rPr>
          <w:rFonts w:hint="eastAsia" w:ascii="仿宋_GB2312" w:hAnsi="方正仿宋_GBK" w:eastAsia="仿宋_GB2312" w:cs="方正仿宋_GBK"/>
          <w:sz w:val="32"/>
          <w:szCs w:val="40"/>
          <w:lang w:eastAsia="zh-CN"/>
        </w:rPr>
        <w:t>竞赛方式。采取无药斗抓药方式进行，处方饮片分别装在相同规格的不同药盒内，随机摆放在调剂台正前方，药盒上不标注饮片名称。比赛时，参赛选手须在规定时间内，按照处方笺上的饮片名，从摆放的</w:t>
      </w:r>
      <w:bookmarkStart w:id="0" w:name="_GoBack"/>
      <w:bookmarkEnd w:id="0"/>
      <w:r>
        <w:rPr>
          <w:rFonts w:hint="eastAsia" w:ascii="仿宋_GB2312" w:hAnsi="方正仿宋_GBK" w:eastAsia="仿宋_GB2312" w:cs="方正仿宋_GBK"/>
          <w:sz w:val="32"/>
          <w:szCs w:val="40"/>
          <w:lang w:eastAsia="zh-CN"/>
        </w:rPr>
        <w:t>中药饮片中，调配 12 味×3 付 的处方中药。要求调配操作规范，剂量准确，脚注处理合理，包装整齐规范。剂量准确是指中药调剂操作结束后的称重数据计算称量误差率，包括三剂总量误差率和单剂重量最大误差率。填写煎服法的用药交代后将调剂台上操作用工具恢复原位。计价操作由信息系统完成，参赛选手可忽略此操作步骤。</w:t>
      </w: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四、竞赛参考书目</w:t>
      </w:r>
    </w:p>
    <w:p>
      <w:pPr>
        <w:spacing w:line="360" w:lineRule="auto"/>
        <w:ind w:firstLine="640" w:firstLineChars="200"/>
      </w:pPr>
      <w:r>
        <w:rPr>
          <w:rFonts w:hint="eastAsia" w:ascii="仿宋_GB2312" w:hAnsi="方正仿宋_GBK" w:eastAsia="仿宋_GB2312" w:cs="方正仿宋_GBK"/>
          <w:sz w:val="32"/>
          <w:szCs w:val="40"/>
          <w:lang w:eastAsia="zh-CN"/>
        </w:rPr>
        <w:t>《中华人民共和国药品管理法》2020版（一部）及其实施条例、《处方管理办法》、《医疗用毒性药品管理办法》、《医院中药饮片管理规范》,以及全国中医药行业高等教育“十四五”规划教材中的《中药鉴定学（新世纪第五版）》（主编 康廷国 闫永红. 中国中医药出版社，2021-07）、《中药炮制学（新世纪第五版）》（钟凌云. 中国中医药出版社，2021-08）、《中药学（新世纪第五版）》（主编 钟赣生 杨柏灿 中国中医药出版社，2021-07）</w:t>
      </w:r>
      <w:r>
        <w:rPr>
          <w:rFonts w:ascii="仿宋_GB2312" w:hAnsi="仿宋_GB2312" w:cs="方正仿宋_GBK"/>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lNzgxMTVhMzU5MWRhZDgwYTRjNjJjZjk5M2E3MjIifQ=="/>
  </w:docVars>
  <w:rsids>
    <w:rsidRoot w:val="00EC73F2"/>
    <w:rsid w:val="00014DB4"/>
    <w:rsid w:val="000B2C6A"/>
    <w:rsid w:val="00E1631F"/>
    <w:rsid w:val="00EC73F2"/>
    <w:rsid w:val="00EE71B7"/>
    <w:rsid w:val="012B08CA"/>
    <w:rsid w:val="0F0F1A34"/>
    <w:rsid w:val="17060ED3"/>
    <w:rsid w:val="1BE90B62"/>
    <w:rsid w:val="1CA430F1"/>
    <w:rsid w:val="291716DC"/>
    <w:rsid w:val="5EAF8FBA"/>
    <w:rsid w:val="76DB3CC5"/>
    <w:rsid w:val="D7FE1D9C"/>
    <w:rsid w:val="EFFE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238</Words>
  <Characters>1358</Characters>
  <Lines>11</Lines>
  <Paragraphs>3</Paragraphs>
  <TotalTime>7</TotalTime>
  <ScaleCrop>false</ScaleCrop>
  <LinksUpToDate>false</LinksUpToDate>
  <CharactersWithSpaces>1593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2023-09-18T18:39:00Z</dcterms:created>
  <dc:creator>YXB</dc:creator>
  <cp:lastModifiedBy>admin</cp:lastModifiedBy>
  <dcterms:modified xsi:type="dcterms:W3CDTF">2023-10-08T18:10:23Z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AA8BD15FB60446D6B3AB6085F50674F6_13</vt:lpwstr>
  </property>
</Properties>
</file>