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F58DB">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textAlignment w:val="auto"/>
        <w:outlineLvl w:val="0"/>
        <w:rPr>
          <w:rFonts w:ascii="黑体" w:hAnsi="黑体" w:eastAsia="黑体" w:cs="宋体"/>
          <w:bCs/>
          <w:color w:val="0C0C0C"/>
          <w:kern w:val="36"/>
          <w:sz w:val="32"/>
          <w:szCs w:val="32"/>
        </w:rPr>
      </w:pPr>
      <w:r>
        <w:rPr>
          <w:rFonts w:hint="eastAsia" w:ascii="黑体" w:hAnsi="黑体" w:eastAsia="黑体" w:cs="宋体"/>
          <w:bCs/>
          <w:color w:val="0C0C0C"/>
          <w:kern w:val="36"/>
          <w:sz w:val="32"/>
          <w:szCs w:val="32"/>
        </w:rPr>
        <w:t>附件1</w:t>
      </w:r>
    </w:p>
    <w:p w14:paraId="3BF5B730">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jc w:val="center"/>
        <w:textAlignment w:val="auto"/>
        <w:outlineLvl w:val="0"/>
        <w:rPr>
          <w:rFonts w:ascii="方正小标宋简体" w:hAnsi="微软雅黑" w:eastAsia="方正小标宋简体" w:cs="宋体"/>
          <w:bCs/>
          <w:color w:val="0C0C0C"/>
          <w:kern w:val="36"/>
          <w:sz w:val="44"/>
          <w:szCs w:val="44"/>
        </w:rPr>
      </w:pPr>
    </w:p>
    <w:p w14:paraId="23C1CC6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jc w:val="center"/>
        <w:textAlignment w:val="auto"/>
        <w:outlineLvl w:val="0"/>
        <w:rPr>
          <w:rFonts w:ascii="楷体_GB2312" w:hAnsi="黑体" w:eastAsia="楷体_GB2312" w:cs="宋体"/>
          <w:b/>
          <w:bCs/>
          <w:color w:val="0C0C0C"/>
          <w:kern w:val="0"/>
          <w:sz w:val="32"/>
          <w:szCs w:val="32"/>
        </w:rPr>
      </w:pPr>
      <w:bookmarkStart w:id="0" w:name="_GoBack"/>
      <w:r>
        <w:rPr>
          <w:rFonts w:hint="eastAsia" w:ascii="方正小标宋简体" w:hAnsi="微软雅黑" w:eastAsia="方正小标宋简体" w:cs="宋体"/>
          <w:bCs/>
          <w:color w:val="0C0C0C"/>
          <w:kern w:val="36"/>
          <w:sz w:val="44"/>
          <w:szCs w:val="44"/>
        </w:rPr>
        <w:t>2024年岐黄学者培养项目实施方案</w:t>
      </w:r>
    </w:p>
    <w:bookmarkEnd w:id="0"/>
    <w:p w14:paraId="3DBA5145">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jc w:val="left"/>
        <w:textAlignment w:val="auto"/>
        <w:rPr>
          <w:rFonts w:ascii="仿宋_GB2312" w:hAnsi="宋体" w:eastAsia="仿宋_GB2312" w:cs="宋体"/>
          <w:color w:val="0C0C0C"/>
          <w:kern w:val="0"/>
          <w:sz w:val="32"/>
          <w:szCs w:val="32"/>
        </w:rPr>
      </w:pPr>
    </w:p>
    <w:p w14:paraId="767D6572">
      <w:pPr>
        <w:keepNext w:val="0"/>
        <w:keepLines w:val="0"/>
        <w:pageBreakBefore w:val="0"/>
        <w:widowControl/>
        <w:shd w:val="clear" w:color="auto" w:fill="FFFFFF"/>
        <w:kinsoku/>
        <w:wordWrap/>
        <w:overflowPunct/>
        <w:topLinePunct w:val="0"/>
        <w:bidi w:val="0"/>
        <w:adjustRightInd w:val="0"/>
        <w:snapToGrid w:val="0"/>
        <w:spacing w:line="600" w:lineRule="exact"/>
        <w:ind w:firstLine="640" w:firstLineChars="200"/>
        <w:textAlignment w:val="auto"/>
        <w:rPr>
          <w:rFonts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为贯彻落实《中医药振兴发展重大工程实施方案》《关于加强新时代中医药人才工作的意见》《“十四五”中医药人才发展规划》等文件要求，加强中医药领军人才队伍建设，国家中医药管理局将开展2</w:t>
      </w:r>
      <w:r>
        <w:rPr>
          <w:rFonts w:ascii="仿宋_GB2312" w:hAnsi="宋体" w:eastAsia="仿宋_GB2312" w:cs="宋体"/>
          <w:color w:val="0C0C0C"/>
          <w:kern w:val="0"/>
          <w:sz w:val="32"/>
          <w:szCs w:val="32"/>
        </w:rPr>
        <w:t>024</w:t>
      </w:r>
      <w:r>
        <w:rPr>
          <w:rFonts w:hint="eastAsia" w:ascii="仿宋_GB2312" w:hAnsi="宋体" w:eastAsia="仿宋_GB2312" w:cs="宋体"/>
          <w:color w:val="0C0C0C"/>
          <w:kern w:val="0"/>
          <w:sz w:val="32"/>
          <w:szCs w:val="32"/>
        </w:rPr>
        <w:t>年岐黄学者培养项目。为做好项目的组织实施，根据《中医药特色人才培养工程（岐黄工程）管理办法》，制定本方案。</w:t>
      </w:r>
    </w:p>
    <w:p w14:paraId="27C32E53">
      <w:pPr>
        <w:keepNext w:val="0"/>
        <w:keepLines w:val="0"/>
        <w:pageBreakBefore w:val="0"/>
        <w:widowControl/>
        <w:shd w:val="clear" w:color="auto" w:fill="FFFFFF"/>
        <w:kinsoku/>
        <w:wordWrap/>
        <w:overflowPunct/>
        <w:topLinePunct w:val="0"/>
        <w:bidi w:val="0"/>
        <w:adjustRightInd w:val="0"/>
        <w:snapToGrid w:val="0"/>
        <w:spacing w:line="600" w:lineRule="exact"/>
        <w:ind w:firstLine="640"/>
        <w:jc w:val="left"/>
        <w:textAlignment w:val="auto"/>
        <w:rPr>
          <w:rFonts w:ascii="黑体" w:hAnsi="黑体" w:eastAsia="黑体" w:cs="宋体"/>
          <w:color w:val="0C0C0C"/>
          <w:kern w:val="0"/>
          <w:sz w:val="32"/>
          <w:szCs w:val="32"/>
        </w:rPr>
      </w:pPr>
      <w:r>
        <w:rPr>
          <w:rFonts w:hint="eastAsia" w:ascii="黑体" w:hAnsi="黑体" w:eastAsia="黑体" w:cs="宋体"/>
          <w:color w:val="0C0C0C"/>
          <w:kern w:val="0"/>
          <w:sz w:val="32"/>
          <w:szCs w:val="32"/>
        </w:rPr>
        <w:t>一、目标任务</w:t>
      </w:r>
    </w:p>
    <w:p w14:paraId="3E2BCB4B">
      <w:pPr>
        <w:keepNext w:val="0"/>
        <w:keepLines w:val="0"/>
        <w:pageBreakBefore w:val="0"/>
        <w:widowControl/>
        <w:shd w:val="clear" w:color="auto" w:fill="FFFFFF"/>
        <w:kinsoku/>
        <w:wordWrap/>
        <w:overflowPunct/>
        <w:topLinePunct w:val="0"/>
        <w:bidi w:val="0"/>
        <w:adjustRightInd w:val="0"/>
        <w:snapToGrid w:val="0"/>
        <w:spacing w:line="600" w:lineRule="exact"/>
        <w:ind w:firstLine="640"/>
        <w:textAlignment w:val="auto"/>
        <w:rPr>
          <w:rFonts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遴选在中医药临床实践或科学研究中取得突出成绩或重大成果，在国内外具有较高学术影响力的岐黄学者，培养一批</w:t>
      </w:r>
      <w:r>
        <w:rPr>
          <w:rFonts w:hint="eastAsia" w:ascii="仿宋_GB2312" w:hAnsi="Times New Roman" w:eastAsia="仿宋_GB2312" w:cs="Times New Roman"/>
          <w:sz w:val="32"/>
          <w:szCs w:val="32"/>
        </w:rPr>
        <w:t>引领推动中医药传承创新发展的</w:t>
      </w:r>
      <w:r>
        <w:rPr>
          <w:rFonts w:hint="eastAsia" w:ascii="仿宋_GB2312" w:hAnsi="宋体" w:eastAsia="仿宋_GB2312" w:cs="宋体"/>
          <w:color w:val="0C0C0C"/>
          <w:kern w:val="0"/>
          <w:sz w:val="32"/>
          <w:szCs w:val="32"/>
        </w:rPr>
        <w:t>中医药领军人才。</w:t>
      </w:r>
    </w:p>
    <w:p w14:paraId="19922E64">
      <w:pPr>
        <w:keepNext w:val="0"/>
        <w:keepLines w:val="0"/>
        <w:pageBreakBefore w:val="0"/>
        <w:widowControl/>
        <w:shd w:val="clear" w:color="auto" w:fill="FFFFFF"/>
        <w:kinsoku/>
        <w:wordWrap/>
        <w:overflowPunct/>
        <w:topLinePunct w:val="0"/>
        <w:bidi w:val="0"/>
        <w:adjustRightInd w:val="0"/>
        <w:snapToGrid w:val="0"/>
        <w:spacing w:line="600" w:lineRule="exact"/>
        <w:ind w:firstLine="640"/>
        <w:jc w:val="left"/>
        <w:textAlignment w:val="auto"/>
        <w:rPr>
          <w:rFonts w:ascii="黑体" w:hAnsi="黑体" w:eastAsia="黑体" w:cs="宋体"/>
          <w:color w:val="0C0C0C"/>
          <w:kern w:val="0"/>
          <w:sz w:val="32"/>
          <w:szCs w:val="32"/>
        </w:rPr>
      </w:pPr>
      <w:r>
        <w:rPr>
          <w:rFonts w:hint="eastAsia" w:ascii="黑体" w:hAnsi="黑体" w:eastAsia="黑体" w:cs="宋体"/>
          <w:color w:val="0C0C0C"/>
          <w:kern w:val="0"/>
          <w:sz w:val="32"/>
          <w:szCs w:val="32"/>
        </w:rPr>
        <w:t>二、申报条件</w:t>
      </w:r>
    </w:p>
    <w:p w14:paraId="285AF0F8">
      <w:pPr>
        <w:keepNext w:val="0"/>
        <w:keepLines w:val="0"/>
        <w:pageBreakBefore w:val="0"/>
        <w:widowControl/>
        <w:shd w:val="clear" w:color="auto" w:fill="FFFFFF"/>
        <w:kinsoku/>
        <w:wordWrap/>
        <w:overflowPunct/>
        <w:topLinePunct w:val="0"/>
        <w:bidi w:val="0"/>
        <w:adjustRightInd w:val="0"/>
        <w:snapToGrid w:val="0"/>
        <w:spacing w:line="600" w:lineRule="exact"/>
        <w:ind w:firstLine="640"/>
        <w:jc w:val="left"/>
        <w:textAlignment w:val="auto"/>
        <w:rPr>
          <w:rFonts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岐黄学者项目申报分为临床型、科研型。</w:t>
      </w:r>
    </w:p>
    <w:p w14:paraId="67529DD5">
      <w:pPr>
        <w:keepNext w:val="0"/>
        <w:keepLines w:val="0"/>
        <w:pageBreakBefore w:val="0"/>
        <w:suppressAutoHyphens/>
        <w:kinsoku/>
        <w:wordWrap/>
        <w:overflowPunct/>
        <w:topLinePunct w:val="0"/>
        <w:bidi w:val="0"/>
        <w:adjustRightInd w:val="0"/>
        <w:snapToGrid w:val="0"/>
        <w:spacing w:line="600" w:lineRule="exact"/>
        <w:ind w:firstLine="581" w:firstLineChars="181"/>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（一）申报岐黄学者（临床型）应当同时具备以下遴选条件：</w:t>
      </w:r>
    </w:p>
    <w:p w14:paraId="63D8087F">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w:t>
      </w:r>
      <w:r>
        <w:rPr>
          <w:rFonts w:ascii="仿宋_GB2312" w:hAnsi="黑体" w:eastAsia="仿宋_GB2312" w:cs="Times New Roman"/>
          <w:sz w:val="32"/>
          <w:szCs w:val="32"/>
        </w:rPr>
        <w:t>.</w:t>
      </w:r>
      <w:r>
        <w:rPr>
          <w:rFonts w:hint="eastAsia" w:ascii="仿宋_GB2312" w:hAnsi="黑体" w:eastAsia="仿宋_GB2312" w:cs="Times New Roman"/>
          <w:sz w:val="32"/>
          <w:szCs w:val="32"/>
        </w:rPr>
        <w:t>品德高尚，热爱中医药事业，坚持学术传承与创新，严守学术道德规范，坚持求真务实和勇于创新的科学精神</w:t>
      </w:r>
      <w:r>
        <w:rPr>
          <w:rFonts w:ascii="仿宋_GB2312" w:hAnsi="黑体" w:eastAsia="仿宋_GB2312" w:cs="Times New Roman"/>
          <w:sz w:val="32"/>
          <w:szCs w:val="32"/>
        </w:rPr>
        <w:t>。</w:t>
      </w:r>
    </w:p>
    <w:p w14:paraId="5901C969">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Times New Roman"/>
          <w:color w:val="000000"/>
          <w:sz w:val="32"/>
          <w:szCs w:val="32"/>
        </w:rPr>
        <w:t>2</w:t>
      </w:r>
      <w:r>
        <w:rPr>
          <w:rFonts w:ascii="仿宋_GB2312" w:hAnsi="黑体" w:eastAsia="仿宋_GB2312" w:cs="Times New Roman"/>
          <w:color w:val="000000"/>
          <w:sz w:val="32"/>
          <w:szCs w:val="32"/>
        </w:rPr>
        <w:t>.</w:t>
      </w:r>
      <w:r>
        <w:rPr>
          <w:rFonts w:hint="eastAsia" w:ascii="仿宋_GB2312" w:hAnsi="黑体" w:eastAsia="仿宋_GB2312" w:cs="Times New Roman"/>
          <w:color w:val="000000"/>
          <w:sz w:val="32"/>
          <w:szCs w:val="32"/>
        </w:rPr>
        <w:t>原则上</w:t>
      </w:r>
      <w:r>
        <w:rPr>
          <w:rFonts w:hint="eastAsia" w:ascii="仿宋_GB2312" w:hAnsi="黑体" w:eastAsia="仿宋_GB2312" w:cs="Times New Roman"/>
          <w:sz w:val="32"/>
          <w:szCs w:val="32"/>
        </w:rPr>
        <w:t>申请当年1月1日未满60周岁</w:t>
      </w:r>
      <w:r>
        <w:rPr>
          <w:rFonts w:hint="eastAsia" w:ascii="仿宋_GB2312" w:hAnsi="仿宋_GB2312" w:eastAsia="仿宋_GB2312" w:cs="Times New Roman"/>
          <w:sz w:val="32"/>
          <w:szCs w:val="32"/>
        </w:rPr>
        <w:t>[</w:t>
      </w:r>
      <w:r>
        <w:rPr>
          <w:rFonts w:hint="eastAsia" w:ascii="仿宋_GB2312" w:hAnsi="黑体" w:eastAsia="仿宋_GB2312" w:cs="Times New Roman"/>
          <w:sz w:val="32"/>
          <w:szCs w:val="32"/>
        </w:rPr>
        <w:t>1964年1月1日(含)以后出生，下同</w:t>
      </w:r>
      <w:r>
        <w:rPr>
          <w:rFonts w:hint="eastAsia" w:ascii="仿宋_GB2312" w:hAnsi="仿宋_GB2312" w:eastAsia="仿宋_GB2312" w:cs="Times New Roman"/>
          <w:sz w:val="32"/>
          <w:szCs w:val="32"/>
        </w:rPr>
        <w:t>]</w:t>
      </w:r>
      <w:r>
        <w:rPr>
          <w:rFonts w:hint="eastAsia" w:ascii="仿宋_GB2312" w:hAnsi="黑体" w:eastAsia="仿宋_GB2312" w:cs="Times New Roman"/>
          <w:sz w:val="32"/>
          <w:szCs w:val="32"/>
        </w:rPr>
        <w:t>。</w:t>
      </w:r>
    </w:p>
    <w:p w14:paraId="2457C97C">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w:t>
      </w:r>
      <w:r>
        <w:rPr>
          <w:rFonts w:ascii="仿宋_GB2312" w:hAnsi="黑体" w:eastAsia="仿宋_GB2312" w:cs="Times New Roman"/>
          <w:sz w:val="32"/>
          <w:szCs w:val="32"/>
        </w:rPr>
        <w:t>.</w:t>
      </w:r>
      <w:r>
        <w:rPr>
          <w:rFonts w:hint="eastAsia" w:ascii="仿宋_GB2312" w:hAnsi="黑体" w:eastAsia="仿宋_GB2312" w:cs="Times New Roman"/>
          <w:sz w:val="32"/>
          <w:szCs w:val="32"/>
        </w:rPr>
        <w:t>具有正高级职称，港澳台地区可不作职称要求</w:t>
      </w:r>
      <w:r>
        <w:rPr>
          <w:rFonts w:ascii="仿宋_GB2312" w:hAnsi="黑体" w:eastAsia="仿宋_GB2312" w:cs="Times New Roman"/>
          <w:sz w:val="32"/>
          <w:szCs w:val="32"/>
        </w:rPr>
        <w:t>。</w:t>
      </w:r>
    </w:p>
    <w:p w14:paraId="79087C24">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仿宋_GB2312" w:hAnsi="黑体" w:eastAsia="仿宋_GB2312" w:cs="Times New Roman"/>
          <w:spacing w:val="-4"/>
          <w:sz w:val="32"/>
          <w:szCs w:val="32"/>
        </w:rPr>
      </w:pPr>
      <w:r>
        <w:rPr>
          <w:rFonts w:ascii="仿宋_GB2312" w:hAnsi="黑体" w:eastAsia="仿宋_GB2312" w:cs="Times New Roman"/>
          <w:sz w:val="32"/>
          <w:szCs w:val="32"/>
        </w:rPr>
        <w:t>4.长期坚持中医（含中西医结合，下同）临床或与中医临床相关的中药实践工作，</w:t>
      </w:r>
      <w:r>
        <w:rPr>
          <w:rFonts w:hint="eastAsia" w:ascii="仿宋_GB2312" w:hAnsi="Times New Roman" w:eastAsia="仿宋_GB2312" w:cs="Times New Roman"/>
          <w:spacing w:val="-4"/>
          <w:sz w:val="32"/>
          <w:szCs w:val="32"/>
        </w:rPr>
        <w:t>在临床或实践一线工作时间不少于年度工作日的5</w:t>
      </w:r>
      <w:r>
        <w:rPr>
          <w:rFonts w:ascii="仿宋_GB2312" w:hAnsi="Times New Roman" w:eastAsia="仿宋_GB2312" w:cs="Times New Roman"/>
          <w:spacing w:val="-4"/>
          <w:sz w:val="32"/>
          <w:szCs w:val="32"/>
        </w:rPr>
        <w:t>0</w:t>
      </w:r>
      <w:r>
        <w:rPr>
          <w:rFonts w:hint="eastAsia" w:ascii="仿宋_GB2312" w:hAnsi="Times New Roman" w:eastAsia="仿宋_GB2312" w:cs="Times New Roman"/>
          <w:spacing w:val="-4"/>
          <w:sz w:val="32"/>
          <w:szCs w:val="32"/>
        </w:rPr>
        <w:t>%，有丰富独到的学术经验和技术专长、</w:t>
      </w:r>
      <w:r>
        <w:rPr>
          <w:rFonts w:ascii="仿宋_GB2312" w:hAnsi="黑体" w:eastAsia="仿宋_GB2312" w:cs="Times New Roman"/>
          <w:spacing w:val="-4"/>
          <w:sz w:val="32"/>
          <w:szCs w:val="32"/>
        </w:rPr>
        <w:t>临床诊疗</w:t>
      </w:r>
      <w:r>
        <w:rPr>
          <w:rFonts w:hint="eastAsia" w:ascii="仿宋_GB2312" w:hAnsi="黑体" w:eastAsia="仿宋_GB2312" w:cs="Times New Roman"/>
          <w:spacing w:val="-4"/>
          <w:sz w:val="32"/>
          <w:szCs w:val="32"/>
        </w:rPr>
        <w:t>或实践</w:t>
      </w:r>
      <w:r>
        <w:rPr>
          <w:rFonts w:ascii="仿宋_GB2312" w:hAnsi="黑体" w:eastAsia="仿宋_GB2312" w:cs="Times New Roman"/>
          <w:spacing w:val="-4"/>
          <w:sz w:val="32"/>
          <w:szCs w:val="32"/>
        </w:rPr>
        <w:t>能力</w:t>
      </w:r>
      <w:r>
        <w:rPr>
          <w:rFonts w:hint="eastAsia" w:ascii="仿宋_GB2312" w:hAnsi="黑体" w:eastAsia="仿宋_GB2312" w:cs="Times New Roman"/>
          <w:spacing w:val="-4"/>
          <w:sz w:val="32"/>
          <w:szCs w:val="32"/>
        </w:rPr>
        <w:t>突出，</w:t>
      </w:r>
      <w:r>
        <w:rPr>
          <w:rFonts w:ascii="仿宋_GB2312" w:hAnsi="黑体" w:eastAsia="仿宋_GB2312" w:cs="Times New Roman"/>
          <w:sz w:val="32"/>
          <w:szCs w:val="32"/>
        </w:rPr>
        <w:t>且在疑难疾病的临床救治方面疗效显著，受到同行或患者认可</w:t>
      </w:r>
      <w:r>
        <w:rPr>
          <w:rFonts w:hint="eastAsia" w:ascii="仿宋_GB2312" w:hAnsi="黑体" w:eastAsia="仿宋_GB2312" w:cs="Times New Roman"/>
          <w:sz w:val="32"/>
          <w:szCs w:val="32"/>
        </w:rPr>
        <w:t>。</w:t>
      </w:r>
    </w:p>
    <w:p w14:paraId="6F10224C">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5</w:t>
      </w:r>
      <w:r>
        <w:rPr>
          <w:rFonts w:ascii="仿宋_GB2312" w:hAnsi="黑体" w:eastAsia="仿宋_GB2312" w:cs="Times New Roman"/>
          <w:sz w:val="32"/>
          <w:szCs w:val="32"/>
        </w:rPr>
        <w:t>.</w:t>
      </w:r>
      <w:r>
        <w:rPr>
          <w:rFonts w:hint="eastAsia" w:ascii="仿宋_GB2312" w:hAnsi="黑体" w:eastAsia="仿宋_GB2312" w:cs="Times New Roman"/>
          <w:sz w:val="32"/>
          <w:szCs w:val="32"/>
        </w:rPr>
        <w:t>中医药理论扎实，学术成果丰硕，在全国有</w:t>
      </w:r>
      <w:r>
        <w:rPr>
          <w:rFonts w:ascii="仿宋_GB2312" w:hAnsi="黑体" w:eastAsia="仿宋_GB2312" w:cs="Times New Roman"/>
          <w:sz w:val="32"/>
          <w:szCs w:val="32"/>
        </w:rPr>
        <w:t>重要</w:t>
      </w:r>
      <w:r>
        <w:rPr>
          <w:rFonts w:hint="eastAsia" w:ascii="仿宋_GB2312" w:hAnsi="黑体" w:eastAsia="仿宋_GB2312" w:cs="Times New Roman"/>
          <w:sz w:val="32"/>
          <w:szCs w:val="32"/>
        </w:rPr>
        <w:t>学术影响力，具有引领本学科（专科）发展的能力。</w:t>
      </w:r>
      <w:r>
        <w:rPr>
          <w:rFonts w:ascii="仿宋_GB2312" w:hAnsi="黑体" w:eastAsia="仿宋_GB2312" w:cs="Times New Roman"/>
          <w:sz w:val="32"/>
          <w:szCs w:val="32"/>
        </w:rPr>
        <w:t>主持并完成省部级</w:t>
      </w:r>
      <w:r>
        <w:rPr>
          <w:rFonts w:hint="eastAsia" w:ascii="仿宋_GB2312" w:hAnsi="黑体" w:eastAsia="仿宋_GB2312" w:cs="Times New Roman"/>
          <w:sz w:val="32"/>
          <w:szCs w:val="32"/>
        </w:rPr>
        <w:t>及</w:t>
      </w:r>
      <w:r>
        <w:rPr>
          <w:rFonts w:ascii="仿宋_GB2312" w:hAnsi="黑体" w:eastAsia="仿宋_GB2312" w:cs="Times New Roman"/>
          <w:sz w:val="32"/>
          <w:szCs w:val="32"/>
        </w:rPr>
        <w:t>以上</w:t>
      </w:r>
      <w:r>
        <w:rPr>
          <w:rFonts w:hint="eastAsia" w:ascii="仿宋_GB2312" w:hAnsi="黑体" w:eastAsia="仿宋_GB2312" w:cs="Times New Roman"/>
          <w:sz w:val="32"/>
          <w:szCs w:val="32"/>
        </w:rPr>
        <w:t>中医药</w:t>
      </w:r>
      <w:r>
        <w:rPr>
          <w:rFonts w:ascii="仿宋_GB2312" w:hAnsi="黑体" w:eastAsia="仿宋_GB2312" w:cs="Times New Roman"/>
          <w:sz w:val="32"/>
          <w:szCs w:val="32"/>
        </w:rPr>
        <w:t>临床研究</w:t>
      </w:r>
      <w:r>
        <w:rPr>
          <w:rFonts w:hint="eastAsia" w:ascii="仿宋_GB2312" w:hAnsi="黑体" w:eastAsia="仿宋_GB2312" w:cs="Times New Roman"/>
          <w:sz w:val="32"/>
          <w:szCs w:val="32"/>
        </w:rPr>
        <w:t>项目或课题。</w:t>
      </w:r>
      <w:r>
        <w:rPr>
          <w:rFonts w:ascii="仿宋_GB2312" w:hAnsi="黑体" w:eastAsia="仿宋_GB2312" w:cs="Times New Roman"/>
          <w:sz w:val="32"/>
          <w:szCs w:val="32"/>
        </w:rPr>
        <w:t>撰写并出版与本人研究领域相关</w:t>
      </w:r>
      <w:r>
        <w:rPr>
          <w:rFonts w:hint="eastAsia" w:ascii="仿宋_GB2312" w:hAnsi="黑体" w:eastAsia="仿宋_GB2312" w:cs="Times New Roman"/>
          <w:sz w:val="32"/>
          <w:szCs w:val="32"/>
        </w:rPr>
        <w:t>、体现本人学术思想或</w:t>
      </w:r>
      <w:r>
        <w:rPr>
          <w:rFonts w:ascii="仿宋_GB2312" w:hAnsi="黑体" w:eastAsia="仿宋_GB2312" w:cs="Times New Roman"/>
          <w:sz w:val="32"/>
          <w:szCs w:val="32"/>
        </w:rPr>
        <w:t>研究成果</w:t>
      </w:r>
      <w:r>
        <w:rPr>
          <w:rFonts w:hint="eastAsia" w:ascii="仿宋_GB2312" w:hAnsi="黑体" w:eastAsia="仿宋_GB2312" w:cs="Times New Roman"/>
          <w:sz w:val="32"/>
          <w:szCs w:val="32"/>
        </w:rPr>
        <w:t>的专著，或在国内外期刊发表与</w:t>
      </w:r>
      <w:r>
        <w:rPr>
          <w:rFonts w:ascii="仿宋_GB2312" w:hAnsi="黑体" w:eastAsia="仿宋_GB2312" w:cs="Times New Roman"/>
          <w:sz w:val="32"/>
          <w:szCs w:val="32"/>
        </w:rPr>
        <w:t>本人临床研究或实践领域相关</w:t>
      </w:r>
      <w:r>
        <w:rPr>
          <w:rFonts w:hint="eastAsia" w:ascii="仿宋_GB2312" w:hAnsi="黑体" w:eastAsia="仿宋_GB2312" w:cs="Times New Roman"/>
          <w:sz w:val="32"/>
          <w:szCs w:val="32"/>
        </w:rPr>
        <w:t>、体现本人学术思想或</w:t>
      </w:r>
      <w:r>
        <w:rPr>
          <w:rFonts w:ascii="仿宋_GB2312" w:hAnsi="黑体" w:eastAsia="仿宋_GB2312" w:cs="Times New Roman"/>
          <w:sz w:val="32"/>
          <w:szCs w:val="32"/>
        </w:rPr>
        <w:t>研究成果</w:t>
      </w:r>
      <w:r>
        <w:rPr>
          <w:rFonts w:hint="eastAsia" w:ascii="仿宋_GB2312" w:hAnsi="黑体" w:eastAsia="仿宋_GB2312" w:cs="Times New Roman"/>
          <w:sz w:val="32"/>
          <w:szCs w:val="32"/>
        </w:rPr>
        <w:t>的高水平学术论文。</w:t>
      </w:r>
    </w:p>
    <w:p w14:paraId="20F66BBC">
      <w:pPr>
        <w:keepNext w:val="0"/>
        <w:keepLines w:val="0"/>
        <w:pageBreakBefore w:val="0"/>
        <w:suppressAutoHyphens/>
        <w:kinsoku/>
        <w:wordWrap/>
        <w:overflowPunct/>
        <w:topLinePunct w:val="0"/>
        <w:bidi w:val="0"/>
        <w:adjustRightInd w:val="0"/>
        <w:snapToGrid w:val="0"/>
        <w:spacing w:line="600" w:lineRule="exact"/>
        <w:ind w:firstLine="581" w:firstLineChars="181"/>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（二）申报岐黄学者（科研型）应当同时具备以下遴选条件：</w:t>
      </w:r>
    </w:p>
    <w:p w14:paraId="2BC6444D">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w:t>
      </w:r>
      <w:r>
        <w:rPr>
          <w:rFonts w:ascii="仿宋_GB2312" w:hAnsi="黑体" w:eastAsia="仿宋_GB2312" w:cs="Times New Roman"/>
          <w:sz w:val="32"/>
          <w:szCs w:val="32"/>
        </w:rPr>
        <w:t>.</w:t>
      </w:r>
      <w:r>
        <w:rPr>
          <w:rFonts w:hint="eastAsia" w:ascii="仿宋_GB2312" w:hAnsi="黑体" w:eastAsia="仿宋_GB2312" w:cs="Times New Roman"/>
          <w:sz w:val="32"/>
          <w:szCs w:val="32"/>
        </w:rPr>
        <w:t>品德高尚，热爱中医药事业，坚持学术传承与创新，严守学术道德规范，坚持求真务实和勇于创新的科学精神</w:t>
      </w:r>
      <w:r>
        <w:rPr>
          <w:rFonts w:ascii="仿宋_GB2312" w:hAnsi="黑体" w:eastAsia="仿宋_GB2312" w:cs="Times New Roman"/>
          <w:sz w:val="32"/>
          <w:szCs w:val="32"/>
        </w:rPr>
        <w:t>。</w:t>
      </w:r>
    </w:p>
    <w:p w14:paraId="67421A5D">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2</w:t>
      </w:r>
      <w:r>
        <w:rPr>
          <w:rFonts w:ascii="仿宋_GB2312" w:hAnsi="黑体" w:eastAsia="仿宋_GB2312" w:cs="Times New Roman"/>
          <w:color w:val="000000"/>
          <w:sz w:val="32"/>
          <w:szCs w:val="32"/>
        </w:rPr>
        <w:t>.</w:t>
      </w:r>
      <w:r>
        <w:rPr>
          <w:rFonts w:hint="eastAsia" w:ascii="仿宋_GB2312" w:hAnsi="黑体" w:eastAsia="仿宋_GB2312" w:cs="Times New Roman"/>
          <w:color w:val="000000"/>
          <w:sz w:val="32"/>
          <w:szCs w:val="32"/>
        </w:rPr>
        <w:t>原则上</w:t>
      </w:r>
      <w:r>
        <w:rPr>
          <w:rFonts w:hint="eastAsia" w:ascii="仿宋_GB2312" w:hAnsi="黑体" w:eastAsia="仿宋_GB2312" w:cs="Times New Roman"/>
          <w:sz w:val="32"/>
          <w:szCs w:val="32"/>
        </w:rPr>
        <w:t>申请当年1月1日未满60周岁</w:t>
      </w:r>
      <w:r>
        <w:rPr>
          <w:rFonts w:ascii="仿宋_GB2312" w:hAnsi="黑体" w:eastAsia="仿宋_GB2312" w:cs="Times New Roman"/>
          <w:color w:val="000000"/>
          <w:sz w:val="32"/>
          <w:szCs w:val="32"/>
        </w:rPr>
        <w:t>。</w:t>
      </w:r>
    </w:p>
    <w:p w14:paraId="2682629F">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w:t>
      </w:r>
      <w:r>
        <w:rPr>
          <w:rFonts w:ascii="仿宋_GB2312" w:hAnsi="黑体" w:eastAsia="仿宋_GB2312" w:cs="Times New Roman"/>
          <w:sz w:val="32"/>
          <w:szCs w:val="32"/>
        </w:rPr>
        <w:t>.</w:t>
      </w:r>
      <w:r>
        <w:rPr>
          <w:rFonts w:hint="eastAsia" w:ascii="仿宋_GB2312" w:hAnsi="黑体" w:eastAsia="仿宋_GB2312" w:cs="Times New Roman"/>
          <w:sz w:val="32"/>
          <w:szCs w:val="32"/>
        </w:rPr>
        <w:t>具有正高级职称，港澳台地区可不作职称要求</w:t>
      </w:r>
      <w:r>
        <w:rPr>
          <w:rFonts w:ascii="仿宋_GB2312" w:hAnsi="黑体" w:eastAsia="仿宋_GB2312" w:cs="Times New Roman"/>
          <w:sz w:val="32"/>
          <w:szCs w:val="32"/>
        </w:rPr>
        <w:t>。</w:t>
      </w:r>
    </w:p>
    <w:p w14:paraId="54CC119A">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黑体" w:hAnsi="黑体" w:eastAsia="黑体" w:cs="Times New Roman"/>
          <w:sz w:val="32"/>
          <w:szCs w:val="32"/>
        </w:rPr>
      </w:pPr>
      <w:r>
        <w:rPr>
          <w:rFonts w:hint="eastAsia" w:ascii="仿宋_GB2312" w:hAnsi="黑体" w:eastAsia="仿宋_GB2312" w:cs="Times New Roman"/>
          <w:sz w:val="32"/>
          <w:szCs w:val="32"/>
        </w:rPr>
        <w:t>4</w:t>
      </w:r>
      <w:r>
        <w:rPr>
          <w:rFonts w:ascii="仿宋_GB2312" w:hAnsi="黑体" w:eastAsia="仿宋_GB2312" w:cs="Times New Roman"/>
          <w:sz w:val="32"/>
          <w:szCs w:val="32"/>
        </w:rPr>
        <w:t>.</w:t>
      </w:r>
      <w:r>
        <w:rPr>
          <w:rFonts w:hint="eastAsia" w:ascii="仿宋_GB2312" w:hAnsi="黑体" w:eastAsia="仿宋_GB2312" w:cs="Times New Roman"/>
          <w:sz w:val="32"/>
          <w:szCs w:val="32"/>
        </w:rPr>
        <w:t>长期从事中医药</w:t>
      </w:r>
      <w:r>
        <w:rPr>
          <w:rFonts w:ascii="仿宋_GB2312" w:hAnsi="黑体" w:eastAsia="仿宋_GB2312" w:cs="Times New Roman"/>
          <w:sz w:val="32"/>
          <w:szCs w:val="32"/>
        </w:rPr>
        <w:t>基础研究、</w:t>
      </w:r>
      <w:r>
        <w:rPr>
          <w:rFonts w:hint="eastAsia" w:ascii="仿宋_GB2312" w:hAnsi="黑体" w:eastAsia="仿宋_GB2312" w:cs="Times New Roman"/>
          <w:sz w:val="32"/>
          <w:szCs w:val="32"/>
        </w:rPr>
        <w:t>应用</w:t>
      </w:r>
      <w:r>
        <w:rPr>
          <w:rFonts w:ascii="仿宋_GB2312" w:hAnsi="黑体" w:eastAsia="仿宋_GB2312" w:cs="Times New Roman"/>
          <w:sz w:val="32"/>
          <w:szCs w:val="32"/>
        </w:rPr>
        <w:t>研究</w:t>
      </w:r>
      <w:r>
        <w:rPr>
          <w:rFonts w:hint="eastAsia" w:ascii="仿宋_GB2312" w:hAnsi="黑体" w:eastAsia="仿宋_GB2312" w:cs="Times New Roman"/>
          <w:sz w:val="32"/>
          <w:szCs w:val="32"/>
        </w:rPr>
        <w:t>工作，坚持中医药原创思维，运用现代科技手段开展</w:t>
      </w:r>
      <w:r>
        <w:rPr>
          <w:rFonts w:ascii="仿宋_GB2312" w:hAnsi="黑体" w:eastAsia="仿宋_GB2312" w:cs="Times New Roman"/>
          <w:sz w:val="32"/>
          <w:szCs w:val="32"/>
        </w:rPr>
        <w:t>相关</w:t>
      </w:r>
      <w:r>
        <w:rPr>
          <w:rFonts w:hint="eastAsia" w:ascii="仿宋_GB2312" w:hAnsi="黑体" w:eastAsia="仿宋_GB2312" w:cs="Times New Roman"/>
          <w:sz w:val="32"/>
          <w:szCs w:val="32"/>
        </w:rPr>
        <w:t>研究，具有引领本学科创新发展方向的能力</w:t>
      </w:r>
      <w:r>
        <w:rPr>
          <w:rFonts w:ascii="仿宋_GB2312" w:hAnsi="黑体" w:eastAsia="仿宋_GB2312" w:cs="Times New Roman"/>
          <w:sz w:val="32"/>
          <w:szCs w:val="32"/>
        </w:rPr>
        <w:t>。</w:t>
      </w:r>
    </w:p>
    <w:p w14:paraId="54D53A00">
      <w:pPr>
        <w:keepNext w:val="0"/>
        <w:keepLines w:val="0"/>
        <w:pageBreakBefore w:val="0"/>
        <w:suppressAutoHyphens/>
        <w:kinsoku/>
        <w:wordWrap/>
        <w:overflowPunct/>
        <w:topLinePunct w:val="0"/>
        <w:bidi w:val="0"/>
        <w:adjustRightInd w:val="0"/>
        <w:snapToGrid w:val="0"/>
        <w:spacing w:line="600" w:lineRule="exact"/>
        <w:ind w:firstLine="648" w:firstLineChars="200"/>
        <w:textAlignment w:val="auto"/>
        <w:rPr>
          <w:rFonts w:ascii="仿宋_GB2312" w:hAnsi="黑体" w:eastAsia="仿宋_GB2312" w:cs="Times New Roman"/>
          <w:spacing w:val="2"/>
          <w:sz w:val="32"/>
          <w:szCs w:val="32"/>
        </w:rPr>
      </w:pPr>
      <w:r>
        <w:rPr>
          <w:rFonts w:hint="eastAsia" w:ascii="仿宋_GB2312" w:hAnsi="黑体" w:eastAsia="仿宋_GB2312" w:cs="Times New Roman"/>
          <w:spacing w:val="2"/>
          <w:sz w:val="32"/>
          <w:szCs w:val="32"/>
        </w:rPr>
        <w:t>5</w:t>
      </w:r>
      <w:r>
        <w:rPr>
          <w:rFonts w:ascii="仿宋_GB2312" w:hAnsi="黑体" w:eastAsia="仿宋_GB2312" w:cs="Times New Roman"/>
          <w:spacing w:val="2"/>
          <w:sz w:val="32"/>
          <w:szCs w:val="32"/>
        </w:rPr>
        <w:t>.</w:t>
      </w:r>
      <w:r>
        <w:rPr>
          <w:rFonts w:hint="eastAsia" w:ascii="仿宋_GB2312" w:hAnsi="黑体" w:eastAsia="仿宋_GB2312" w:cs="Times New Roman"/>
          <w:spacing w:val="-6"/>
          <w:sz w:val="32"/>
          <w:szCs w:val="32"/>
        </w:rPr>
        <w:t>主持并完成国家级科技计划项</w:t>
      </w:r>
      <w:r>
        <w:rPr>
          <w:rFonts w:hint="eastAsia" w:ascii="仿宋_GB2312" w:hAnsi="黑体" w:eastAsia="仿宋_GB2312" w:cs="Times New Roman"/>
          <w:color w:val="000000"/>
          <w:spacing w:val="-6"/>
          <w:sz w:val="32"/>
          <w:szCs w:val="32"/>
        </w:rPr>
        <w:t>目或课题。</w:t>
      </w:r>
      <w:r>
        <w:rPr>
          <w:rFonts w:hint="eastAsia" w:ascii="仿宋_GB2312" w:hAnsi="黑体" w:eastAsia="仿宋_GB2312" w:cs="Times New Roman"/>
          <w:spacing w:val="-6"/>
          <w:sz w:val="32"/>
          <w:szCs w:val="32"/>
        </w:rPr>
        <w:t>作为第一完成人获得省部级自然科学奖、或科技进步奖、或技术发明奖一等奖及以上奖励，或承担国家高层次科技人才项目。</w:t>
      </w:r>
      <w:r>
        <w:rPr>
          <w:rFonts w:ascii="仿宋_GB2312" w:hAnsi="黑体" w:eastAsia="仿宋_GB2312" w:cs="Times New Roman"/>
          <w:spacing w:val="-6"/>
          <w:sz w:val="32"/>
          <w:szCs w:val="32"/>
        </w:rPr>
        <w:t>撰写并出版与本人研究领域相关</w:t>
      </w:r>
      <w:r>
        <w:rPr>
          <w:rFonts w:hint="eastAsia" w:ascii="仿宋_GB2312" w:hAnsi="黑体" w:eastAsia="仿宋_GB2312" w:cs="Times New Roman"/>
          <w:spacing w:val="-6"/>
          <w:sz w:val="32"/>
          <w:szCs w:val="32"/>
        </w:rPr>
        <w:t>、体现本人学术思想和</w:t>
      </w:r>
      <w:r>
        <w:rPr>
          <w:rFonts w:ascii="仿宋_GB2312" w:hAnsi="黑体" w:eastAsia="仿宋_GB2312" w:cs="Times New Roman"/>
          <w:spacing w:val="-6"/>
          <w:sz w:val="32"/>
          <w:szCs w:val="32"/>
        </w:rPr>
        <w:t>研究能力或成果</w:t>
      </w:r>
      <w:r>
        <w:rPr>
          <w:rFonts w:hint="eastAsia" w:ascii="仿宋_GB2312" w:hAnsi="黑体" w:eastAsia="仿宋_GB2312" w:cs="Times New Roman"/>
          <w:spacing w:val="-6"/>
          <w:sz w:val="32"/>
          <w:szCs w:val="32"/>
        </w:rPr>
        <w:t>的专著，</w:t>
      </w:r>
      <w:r>
        <w:rPr>
          <w:rFonts w:ascii="仿宋_GB2312" w:hAnsi="黑体" w:eastAsia="仿宋_GB2312" w:cs="Times New Roman"/>
          <w:spacing w:val="-6"/>
          <w:sz w:val="32"/>
          <w:szCs w:val="32"/>
        </w:rPr>
        <w:t>或</w:t>
      </w:r>
      <w:r>
        <w:rPr>
          <w:rFonts w:hint="eastAsia" w:ascii="仿宋_GB2312" w:hAnsi="黑体" w:eastAsia="仿宋_GB2312" w:cs="Times New Roman"/>
          <w:spacing w:val="-6"/>
          <w:sz w:val="32"/>
          <w:szCs w:val="32"/>
        </w:rPr>
        <w:t>在国内外期刊发表与</w:t>
      </w:r>
      <w:r>
        <w:rPr>
          <w:rFonts w:ascii="仿宋_GB2312" w:hAnsi="黑体" w:eastAsia="仿宋_GB2312" w:cs="Times New Roman"/>
          <w:spacing w:val="-6"/>
          <w:sz w:val="32"/>
          <w:szCs w:val="32"/>
        </w:rPr>
        <w:t>本人研究领域相关</w:t>
      </w:r>
      <w:r>
        <w:rPr>
          <w:rFonts w:hint="eastAsia" w:ascii="仿宋_GB2312" w:hAnsi="黑体" w:eastAsia="仿宋_GB2312" w:cs="Times New Roman"/>
          <w:spacing w:val="-6"/>
          <w:sz w:val="32"/>
          <w:szCs w:val="32"/>
        </w:rPr>
        <w:t>、体现本人学术思想和</w:t>
      </w:r>
      <w:r>
        <w:rPr>
          <w:rFonts w:ascii="仿宋_GB2312" w:hAnsi="黑体" w:eastAsia="仿宋_GB2312" w:cs="Times New Roman"/>
          <w:spacing w:val="-6"/>
          <w:sz w:val="32"/>
          <w:szCs w:val="32"/>
        </w:rPr>
        <w:t>研究能力或成果</w:t>
      </w:r>
      <w:r>
        <w:rPr>
          <w:rFonts w:hint="eastAsia" w:ascii="仿宋_GB2312" w:hAnsi="黑体" w:eastAsia="仿宋_GB2312" w:cs="Times New Roman"/>
          <w:spacing w:val="-6"/>
          <w:sz w:val="32"/>
          <w:szCs w:val="32"/>
        </w:rPr>
        <w:t>的高水平学术论文。</w:t>
      </w:r>
    </w:p>
    <w:p w14:paraId="73D49695">
      <w:pPr>
        <w:keepNext w:val="0"/>
        <w:keepLines w:val="0"/>
        <w:pageBreakBefore w:val="0"/>
        <w:shd w:val="clear" w:color="auto" w:fill="FFFFFF"/>
        <w:kinsoku/>
        <w:wordWrap/>
        <w:overflowPunct/>
        <w:topLinePunct w:val="0"/>
        <w:bidi w:val="0"/>
        <w:adjustRightInd w:val="0"/>
        <w:snapToGrid w:val="0"/>
        <w:spacing w:line="600" w:lineRule="exact"/>
        <w:ind w:firstLine="641"/>
        <w:jc w:val="left"/>
        <w:textAlignment w:val="auto"/>
        <w:rPr>
          <w:rFonts w:ascii="黑体" w:hAnsi="黑体" w:eastAsia="黑体" w:cs="宋体"/>
          <w:color w:val="0C0C0C"/>
          <w:kern w:val="0"/>
          <w:sz w:val="32"/>
          <w:szCs w:val="32"/>
        </w:rPr>
      </w:pPr>
      <w:r>
        <w:rPr>
          <w:rFonts w:hint="eastAsia" w:ascii="黑体" w:hAnsi="黑体" w:eastAsia="黑体" w:cs="宋体"/>
          <w:color w:val="0C0C0C"/>
          <w:kern w:val="0"/>
          <w:sz w:val="32"/>
          <w:szCs w:val="32"/>
        </w:rPr>
        <w:t>三、推荐程序</w:t>
      </w:r>
    </w:p>
    <w:p w14:paraId="20BED5BC">
      <w:pPr>
        <w:keepNext w:val="0"/>
        <w:keepLines w:val="0"/>
        <w:pageBreakBefore w:val="0"/>
        <w:shd w:val="clear" w:color="auto" w:fill="FFFFFF"/>
        <w:kinsoku/>
        <w:wordWrap/>
        <w:overflowPunct/>
        <w:topLinePunct w:val="0"/>
        <w:bidi w:val="0"/>
        <w:adjustRightInd w:val="0"/>
        <w:snapToGrid w:val="0"/>
        <w:spacing w:line="600" w:lineRule="exact"/>
        <w:ind w:firstLine="641"/>
        <w:textAlignment w:val="auto"/>
        <w:rPr>
          <w:rFonts w:ascii="仿宋_GB2312" w:hAnsi="黑体" w:eastAsia="仿宋_GB2312" w:cs="宋体"/>
          <w:color w:val="0C0C0C"/>
          <w:kern w:val="0"/>
          <w:sz w:val="32"/>
          <w:szCs w:val="32"/>
        </w:rPr>
      </w:pPr>
      <w:r>
        <w:rPr>
          <w:rFonts w:hint="eastAsia" w:ascii="仿宋_GB2312" w:hAnsi="黑体" w:eastAsia="仿宋_GB2312" w:cs="宋体"/>
          <w:color w:val="0C0C0C"/>
          <w:kern w:val="0"/>
          <w:sz w:val="32"/>
          <w:szCs w:val="32"/>
        </w:rPr>
        <w:t>（一）</w:t>
      </w:r>
      <w:r>
        <w:rPr>
          <w:rFonts w:hint="eastAsia" w:ascii="仿宋_GB2312" w:hAnsi="仿宋" w:eastAsia="仿宋_GB2312" w:cs="Times New Roman"/>
          <w:sz w:val="32"/>
          <w:szCs w:val="32"/>
        </w:rPr>
        <w:t>按照属地管理、</w:t>
      </w:r>
      <w:r>
        <w:rPr>
          <w:rFonts w:hint="eastAsia" w:ascii="仿宋_GB2312" w:hAnsi="仿宋_GB2312" w:eastAsia="仿宋_GB2312" w:cs="仿宋_GB2312"/>
          <w:bCs/>
          <w:color w:val="000000"/>
          <w:sz w:val="32"/>
          <w:szCs w:val="32"/>
        </w:rPr>
        <w:t>限额申报的</w:t>
      </w:r>
      <w:r>
        <w:rPr>
          <w:rFonts w:hint="eastAsia" w:ascii="仿宋_GB2312" w:hAnsi="仿宋" w:eastAsia="仿宋_GB2312" w:cs="Times New Roman"/>
          <w:sz w:val="32"/>
          <w:szCs w:val="32"/>
        </w:rPr>
        <w:t>原则进行，原则上各推荐单位推荐人选不超过10名。各省级中医药主管部门、新疆生产建设兵团卫生健康委负责本地区（包括部属院校及相关机构）的申报推荐工作；中国中医科学院、北京中医药大学负责本单位的申报推荐工作;国家卫生健康委人事司负责其直属单位的申报推荐工作；中央军委后勤保障部卫生局负责军队相关机构的申报推荐工作；中央港澳工作办公室牵头负责香港、澳门地区的申报推荐工作；在大陆工作且符合条件的台湾居民由所在地区省级中医药主管部门负责申报推荐，不占用所在地区名额</w:t>
      </w:r>
      <w:r>
        <w:rPr>
          <w:rFonts w:hint="eastAsia" w:ascii="仿宋_GB2312" w:hAnsi="Times New Roman" w:eastAsia="仿宋_GB2312" w:cs="Times New Roman"/>
          <w:sz w:val="32"/>
          <w:szCs w:val="32"/>
        </w:rPr>
        <w:t>。</w:t>
      </w:r>
    </w:p>
    <w:p w14:paraId="1DEC2B95">
      <w:pPr>
        <w:keepNext w:val="0"/>
        <w:keepLines w:val="0"/>
        <w:pageBreakBefore w:val="0"/>
        <w:suppressAutoHyphens/>
        <w:kinsoku/>
        <w:wordWrap/>
        <w:overflowPunct/>
        <w:topLinePunct w:val="0"/>
        <w:autoSpaceDE w:val="0"/>
        <w:autoSpaceDN w:val="0"/>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仿宋_GB2312" w:eastAsia="仿宋_GB2312" w:cs="仿宋_GB2312"/>
          <w:bCs/>
          <w:sz w:val="32"/>
          <w:szCs w:val="32"/>
        </w:rPr>
        <w:t>（二）符合条件的申请人填写申报推荐表，经所在单位初审后，报</w:t>
      </w:r>
      <w:r>
        <w:rPr>
          <w:rFonts w:hint="eastAsia" w:ascii="仿宋_GB2312" w:hAnsi="仿宋" w:eastAsia="仿宋_GB2312" w:cs="Times New Roman"/>
          <w:sz w:val="32"/>
          <w:szCs w:val="32"/>
        </w:rPr>
        <w:t>各省级中医药主管部门等</w:t>
      </w:r>
      <w:r>
        <w:rPr>
          <w:rFonts w:hint="eastAsia" w:ascii="仿宋_GB2312" w:hAnsi="仿宋_GB2312" w:eastAsia="仿宋_GB2312" w:cs="仿宋_GB2312"/>
          <w:bCs/>
          <w:sz w:val="32"/>
          <w:szCs w:val="32"/>
        </w:rPr>
        <w:t>推荐单位。</w:t>
      </w:r>
    </w:p>
    <w:p w14:paraId="5FDD978F">
      <w:pPr>
        <w:keepNext w:val="0"/>
        <w:keepLines w:val="0"/>
        <w:pageBreakBefore w:val="0"/>
        <w:suppressAutoHyphens/>
        <w:kinsoku/>
        <w:wordWrap/>
        <w:overflowPunct/>
        <w:topLinePunct w:val="0"/>
        <w:autoSpaceDE w:val="0"/>
        <w:autoSpaceDN w:val="0"/>
        <w:bidi w:val="0"/>
        <w:adjustRightInd w:val="0"/>
        <w:snapToGrid w:val="0"/>
        <w:spacing w:line="600" w:lineRule="exact"/>
        <w:ind w:firstLine="641"/>
        <w:textAlignment w:val="auto"/>
        <w:rPr>
          <w:rFonts w:ascii="仿宋_GB2312" w:hAnsi="宋体" w:eastAsia="仿宋_GB2312" w:cs="宋体"/>
          <w:color w:val="000000"/>
          <w:kern w:val="0"/>
          <w:sz w:val="32"/>
          <w:szCs w:val="32"/>
        </w:rPr>
      </w:pPr>
      <w:r>
        <w:rPr>
          <w:rFonts w:hint="eastAsia" w:ascii="仿宋_GB2312" w:hAnsi="黑体" w:eastAsia="仿宋_GB2312" w:cs="Times New Roman"/>
          <w:sz w:val="32"/>
          <w:szCs w:val="32"/>
        </w:rPr>
        <w:t>（三）</w:t>
      </w:r>
      <w:r>
        <w:rPr>
          <w:rFonts w:hint="eastAsia" w:ascii="仿宋_GB2312" w:hAnsi="宋体" w:eastAsia="仿宋_GB2312" w:cs="宋体"/>
          <w:color w:val="000000"/>
          <w:kern w:val="0"/>
          <w:sz w:val="32"/>
          <w:szCs w:val="32"/>
        </w:rPr>
        <w:t>推荐单位组织专家对申报人的材料进行审核，确定本地区（单位）推荐人选，并在本地区（单位）范围内进行公示后报国家中医药管理局。</w:t>
      </w:r>
    </w:p>
    <w:p w14:paraId="3B6F1660">
      <w:pPr>
        <w:keepNext w:val="0"/>
        <w:keepLines w:val="0"/>
        <w:pageBreakBefore w:val="0"/>
        <w:widowControl/>
        <w:shd w:val="clear" w:color="auto" w:fill="FFFFFF"/>
        <w:kinsoku/>
        <w:wordWrap/>
        <w:overflowPunct/>
        <w:topLinePunct w:val="0"/>
        <w:bidi w:val="0"/>
        <w:adjustRightInd w:val="0"/>
        <w:snapToGrid w:val="0"/>
        <w:spacing w:line="600" w:lineRule="exact"/>
        <w:ind w:firstLine="640"/>
        <w:jc w:val="left"/>
        <w:textAlignment w:val="auto"/>
        <w:rPr>
          <w:rFonts w:ascii="黑体" w:hAnsi="黑体" w:eastAsia="黑体" w:cs="宋体"/>
          <w:color w:val="0C0C0C"/>
          <w:kern w:val="0"/>
          <w:sz w:val="32"/>
          <w:szCs w:val="32"/>
        </w:rPr>
      </w:pPr>
      <w:r>
        <w:rPr>
          <w:rFonts w:hint="eastAsia" w:ascii="黑体" w:hAnsi="黑体" w:eastAsia="黑体" w:cs="宋体"/>
          <w:color w:val="0C0C0C"/>
          <w:kern w:val="0"/>
          <w:sz w:val="32"/>
          <w:szCs w:val="32"/>
        </w:rPr>
        <w:t>四、遴选程序</w:t>
      </w:r>
    </w:p>
    <w:p w14:paraId="03AE9287">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华文仿宋" w:eastAsia="仿宋_GB2312" w:cs="Times New Roman"/>
          <w:color w:val="0C0C0C"/>
          <w:sz w:val="32"/>
          <w:szCs w:val="32"/>
        </w:rPr>
      </w:pPr>
      <w:r>
        <w:rPr>
          <w:rFonts w:hint="eastAsia" w:ascii="仿宋_GB2312" w:hAnsi="宋体" w:eastAsia="仿宋_GB2312" w:cs="宋体"/>
          <w:bCs/>
          <w:color w:val="0C0C0C"/>
          <w:kern w:val="0"/>
          <w:sz w:val="32"/>
          <w:szCs w:val="32"/>
        </w:rPr>
        <w:t>项目遴选坚持</w:t>
      </w:r>
      <w:r>
        <w:rPr>
          <w:rFonts w:hint="eastAsia" w:ascii="仿宋_GB2312" w:hAnsi="华文仿宋" w:eastAsia="仿宋_GB2312" w:cs="华文仿宋"/>
          <w:color w:val="0C0C0C"/>
          <w:kern w:val="0"/>
          <w:sz w:val="32"/>
          <w:szCs w:val="32"/>
        </w:rPr>
        <w:t>竞争择优的原则。</w:t>
      </w:r>
      <w:r>
        <w:rPr>
          <w:rFonts w:hint="eastAsia" w:ascii="仿宋_GB2312" w:hAnsi="华文仿宋" w:eastAsia="仿宋_GB2312" w:cs="Times New Roman"/>
          <w:color w:val="0C0C0C"/>
          <w:sz w:val="32"/>
          <w:szCs w:val="32"/>
        </w:rPr>
        <w:t>国家中医药管理局成立遴选工作办公室，负责制定遴选工作办法，组建专家库和专家委员会，组织专家委员会开展遴选工作。遴选程序如下：</w:t>
      </w:r>
    </w:p>
    <w:p w14:paraId="4EABB76C">
      <w:pPr>
        <w:keepNext w:val="0"/>
        <w:keepLines w:val="0"/>
        <w:pageBreakBefore w:val="0"/>
        <w:kinsoku/>
        <w:wordWrap/>
        <w:overflowPunct/>
        <w:topLinePunct w:val="0"/>
        <w:bidi w:val="0"/>
        <w:adjustRightInd w:val="0"/>
        <w:snapToGrid w:val="0"/>
        <w:spacing w:line="600" w:lineRule="exact"/>
        <w:ind w:firstLine="643" w:firstLineChars="200"/>
        <w:textAlignment w:val="auto"/>
        <w:rPr>
          <w:rFonts w:ascii="仿宋_GB2312" w:hAnsi="华文仿宋" w:eastAsia="仿宋_GB2312" w:cs="Times New Roman"/>
          <w:color w:val="0C0C0C"/>
          <w:sz w:val="32"/>
          <w:szCs w:val="32"/>
        </w:rPr>
      </w:pPr>
      <w:r>
        <w:rPr>
          <w:rFonts w:hint="eastAsia" w:ascii="楷体_GB2312" w:hAnsi="楷体_GB2312" w:eastAsia="楷体_GB2312" w:cs="楷体_GB2312"/>
          <w:b/>
          <w:bCs/>
          <w:sz w:val="32"/>
          <w:szCs w:val="32"/>
        </w:rPr>
        <w:t>（一）形式审核。</w:t>
      </w:r>
      <w:r>
        <w:rPr>
          <w:rFonts w:hint="eastAsia" w:ascii="仿宋_GB2312" w:hAnsi="华文仿宋" w:eastAsia="仿宋_GB2312" w:cs="Times New Roman"/>
          <w:color w:val="0C0C0C"/>
          <w:sz w:val="32"/>
          <w:szCs w:val="32"/>
        </w:rPr>
        <w:t>由遴选工作办公室负责，主要对候选人申报条件、公示等情况进行审核，并对候选人的申报材料开展一致性比对。比对结果异常情况将提交专家委员会裁定，确定是否进入网上评审环节。</w:t>
      </w:r>
    </w:p>
    <w:p w14:paraId="2AE9FDEE">
      <w:pPr>
        <w:keepNext w:val="0"/>
        <w:keepLines w:val="0"/>
        <w:pageBreakBefore w:val="0"/>
        <w:kinsoku/>
        <w:wordWrap/>
        <w:overflowPunct/>
        <w:topLinePunct w:val="0"/>
        <w:bidi w:val="0"/>
        <w:adjustRightInd w:val="0"/>
        <w:snapToGrid w:val="0"/>
        <w:spacing w:line="600" w:lineRule="exact"/>
        <w:ind w:firstLine="645"/>
        <w:textAlignment w:val="auto"/>
        <w:rPr>
          <w:rFonts w:ascii="黑体" w:hAnsi="黑体" w:eastAsia="黑体" w:cs="华文仿宋"/>
          <w:color w:val="0C0C0C"/>
          <w:sz w:val="32"/>
          <w:szCs w:val="32"/>
        </w:rPr>
      </w:pPr>
      <w:r>
        <w:rPr>
          <w:rFonts w:hint="eastAsia" w:ascii="楷体_GB2312" w:hAnsi="楷体_GB2312" w:eastAsia="楷体_GB2312" w:cs="楷体_GB2312"/>
          <w:b/>
          <w:bCs/>
          <w:sz w:val="32"/>
          <w:szCs w:val="32"/>
        </w:rPr>
        <w:t>（二）网上评审。</w:t>
      </w:r>
      <w:r>
        <w:rPr>
          <w:rFonts w:hint="eastAsia" w:ascii="仿宋_GB2312" w:hAnsi="华文仿宋" w:eastAsia="仿宋_GB2312" w:cs="Times New Roman"/>
          <w:color w:val="0C0C0C"/>
          <w:sz w:val="32"/>
          <w:szCs w:val="32"/>
        </w:rPr>
        <w:t>由遴选工作办公室负责，采取同行网上评阅材料的方式进行。</w:t>
      </w:r>
    </w:p>
    <w:p w14:paraId="2E4D7C36">
      <w:pPr>
        <w:keepNext w:val="0"/>
        <w:keepLines w:val="0"/>
        <w:pageBreakBefore w:val="0"/>
        <w:kinsoku/>
        <w:wordWrap/>
        <w:overflowPunct/>
        <w:topLinePunct w:val="0"/>
        <w:bidi w:val="0"/>
        <w:adjustRightInd w:val="0"/>
        <w:snapToGrid w:val="0"/>
        <w:spacing w:line="600" w:lineRule="exact"/>
        <w:ind w:firstLine="645"/>
        <w:textAlignment w:val="auto"/>
        <w:rPr>
          <w:rFonts w:ascii="仿宋_GB2312" w:hAnsi="华文仿宋" w:eastAsia="仿宋_GB2312" w:cs="Times New Roman"/>
          <w:color w:val="0C0C0C"/>
          <w:sz w:val="32"/>
          <w:szCs w:val="32"/>
        </w:rPr>
      </w:pPr>
      <w:r>
        <w:rPr>
          <w:rFonts w:hint="eastAsia" w:ascii="楷体_GB2312" w:hAnsi="楷体_GB2312" w:eastAsia="楷体_GB2312" w:cs="楷体_GB2312"/>
          <w:b/>
          <w:bCs/>
          <w:sz w:val="32"/>
          <w:szCs w:val="32"/>
        </w:rPr>
        <w:t>（三）会议评审。</w:t>
      </w:r>
      <w:r>
        <w:rPr>
          <w:rFonts w:hint="eastAsia" w:ascii="仿宋_GB2312" w:hAnsi="华文仿宋" w:eastAsia="仿宋_GB2312" w:cs="Times New Roman"/>
          <w:color w:val="0C0C0C"/>
          <w:sz w:val="32"/>
          <w:szCs w:val="32"/>
        </w:rPr>
        <w:t>由专家委员会负责，采取评阅材料、会议讨论、实名投票等程序产生建议人选。</w:t>
      </w:r>
    </w:p>
    <w:p w14:paraId="17B4A7C7">
      <w:pPr>
        <w:keepNext w:val="0"/>
        <w:keepLines w:val="0"/>
        <w:pageBreakBefore w:val="0"/>
        <w:kinsoku/>
        <w:wordWrap/>
        <w:overflowPunct/>
        <w:topLinePunct w:val="0"/>
        <w:bidi w:val="0"/>
        <w:adjustRightInd w:val="0"/>
        <w:snapToGrid w:val="0"/>
        <w:spacing w:line="600" w:lineRule="exact"/>
        <w:ind w:firstLine="643" w:firstLineChars="200"/>
        <w:textAlignment w:val="auto"/>
        <w:rPr>
          <w:rFonts w:ascii="仿宋_GB2312" w:hAnsi="华文仿宋" w:eastAsia="仿宋_GB2312" w:cs="Times New Roman"/>
          <w:color w:val="0C0C0C"/>
          <w:sz w:val="32"/>
          <w:szCs w:val="32"/>
        </w:rPr>
      </w:pPr>
      <w:r>
        <w:rPr>
          <w:rFonts w:hint="eastAsia" w:ascii="楷体_GB2312" w:hAnsi="楷体_GB2312" w:eastAsia="楷体_GB2312" w:cs="楷体_GB2312"/>
          <w:b/>
          <w:bCs/>
          <w:sz w:val="32"/>
          <w:szCs w:val="32"/>
        </w:rPr>
        <w:t>（四）答辩。</w:t>
      </w:r>
      <w:r>
        <w:rPr>
          <w:rFonts w:hint="eastAsia" w:ascii="仿宋_GB2312" w:hAnsi="华文仿宋" w:eastAsia="仿宋_GB2312" w:cs="Times New Roman"/>
          <w:color w:val="0C0C0C"/>
          <w:sz w:val="32"/>
          <w:szCs w:val="32"/>
        </w:rPr>
        <w:t>由专家委员会负责，采取听取候选人汇报、专家提问、实名投票等程序产生建议人选。</w:t>
      </w:r>
    </w:p>
    <w:p w14:paraId="24E020A5">
      <w:pPr>
        <w:keepNext w:val="0"/>
        <w:keepLines w:val="0"/>
        <w:pageBreakBefore w:val="0"/>
        <w:kinsoku/>
        <w:wordWrap/>
        <w:overflowPunct/>
        <w:topLinePunct w:val="0"/>
        <w:bidi w:val="0"/>
        <w:adjustRightInd w:val="0"/>
        <w:snapToGrid w:val="0"/>
        <w:spacing w:line="600" w:lineRule="exact"/>
        <w:ind w:firstLine="643" w:firstLineChars="200"/>
        <w:textAlignment w:val="auto"/>
        <w:rPr>
          <w:rFonts w:ascii="仿宋_GB2312" w:hAnsi="华文仿宋" w:eastAsia="仿宋_GB2312" w:cs="Times New Roman"/>
          <w:color w:val="0C0C0C"/>
          <w:sz w:val="32"/>
          <w:szCs w:val="32"/>
        </w:rPr>
      </w:pPr>
      <w:r>
        <w:rPr>
          <w:rFonts w:hint="eastAsia" w:ascii="楷体_GB2312" w:hAnsi="楷体_GB2312" w:eastAsia="楷体_GB2312" w:cs="楷体_GB2312"/>
          <w:b/>
          <w:bCs/>
          <w:sz w:val="32"/>
          <w:szCs w:val="32"/>
        </w:rPr>
        <w:t>（五）公示。</w:t>
      </w:r>
      <w:r>
        <w:rPr>
          <w:rFonts w:hint="eastAsia" w:ascii="仿宋_GB2312" w:hAnsi="华文仿宋" w:eastAsia="仿宋_GB2312" w:cs="Times New Roman"/>
          <w:color w:val="0C0C0C"/>
          <w:sz w:val="32"/>
          <w:szCs w:val="32"/>
        </w:rPr>
        <w:t>国家中医药管理局审定建议人选名单，在政府网站公示5个工作日。遴选工作办公室负责受理调查公示异议情况，调查结果由专家委员会审议后，报国家中医药管理局。</w:t>
      </w:r>
    </w:p>
    <w:p w14:paraId="4F86EBE1">
      <w:pPr>
        <w:keepNext w:val="0"/>
        <w:keepLines w:val="0"/>
        <w:pageBreakBefore w:val="0"/>
        <w:kinsoku/>
        <w:wordWrap/>
        <w:overflowPunct/>
        <w:topLinePunct w:val="0"/>
        <w:bidi w:val="0"/>
        <w:adjustRightInd w:val="0"/>
        <w:snapToGrid w:val="0"/>
        <w:spacing w:line="600" w:lineRule="exact"/>
        <w:ind w:firstLine="643" w:firstLineChars="200"/>
        <w:textAlignment w:val="auto"/>
        <w:rPr>
          <w:rFonts w:ascii="仿宋_GB2312" w:hAnsi="华文仿宋" w:eastAsia="仿宋_GB2312" w:cs="Times New Roman"/>
          <w:color w:val="0C0C0C"/>
          <w:sz w:val="32"/>
          <w:szCs w:val="32"/>
        </w:rPr>
      </w:pPr>
      <w:r>
        <w:rPr>
          <w:rFonts w:hint="eastAsia" w:ascii="楷体_GB2312" w:hAnsi="楷体_GB2312" w:eastAsia="楷体_GB2312" w:cs="楷体_GB2312"/>
          <w:b/>
          <w:bCs/>
          <w:sz w:val="32"/>
          <w:szCs w:val="32"/>
        </w:rPr>
        <w:t>（六）公布。</w:t>
      </w:r>
      <w:r>
        <w:rPr>
          <w:rFonts w:hint="eastAsia" w:ascii="仿宋_GB2312" w:hAnsi="华文仿宋" w:eastAsia="仿宋_GB2312" w:cs="Times New Roman"/>
          <w:color w:val="0C0C0C"/>
          <w:sz w:val="32"/>
          <w:szCs w:val="32"/>
        </w:rPr>
        <w:t>国家中医药管理局根据公示情况，公布2024年岐黄学者培养项目人选名单。</w:t>
      </w:r>
    </w:p>
    <w:p w14:paraId="00EC9A1E">
      <w:pPr>
        <w:keepNext w:val="0"/>
        <w:keepLines w:val="0"/>
        <w:pageBreakBefore w:val="0"/>
        <w:kinsoku/>
        <w:wordWrap/>
        <w:overflowPunct/>
        <w:topLinePunct w:val="0"/>
        <w:bidi w:val="0"/>
        <w:adjustRightInd w:val="0"/>
        <w:snapToGrid w:val="0"/>
        <w:spacing w:line="600" w:lineRule="exact"/>
        <w:ind w:firstLine="640" w:firstLineChars="200"/>
        <w:textAlignment w:val="auto"/>
        <w:rPr>
          <w:rFonts w:ascii="黑体" w:hAnsi="黑体" w:eastAsia="黑体" w:cs="宋体"/>
          <w:color w:val="0C0C0C"/>
          <w:kern w:val="0"/>
          <w:sz w:val="32"/>
          <w:szCs w:val="32"/>
        </w:rPr>
      </w:pPr>
      <w:r>
        <w:rPr>
          <w:rFonts w:hint="eastAsia" w:ascii="黑体" w:hAnsi="黑体" w:eastAsia="黑体" w:cs="宋体"/>
          <w:color w:val="0C0C0C"/>
          <w:kern w:val="0"/>
          <w:sz w:val="32"/>
          <w:szCs w:val="32"/>
        </w:rPr>
        <w:t>五、培养内容</w:t>
      </w:r>
    </w:p>
    <w:p w14:paraId="1559DFD9">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宋体" w:eastAsia="仿宋_GB2312" w:cs="宋体"/>
          <w:color w:val="0C0C0C"/>
          <w:kern w:val="0"/>
          <w:sz w:val="32"/>
          <w:szCs w:val="32"/>
        </w:rPr>
        <w:t>（一）通过</w:t>
      </w:r>
      <w:r>
        <w:rPr>
          <w:rFonts w:hint="eastAsia" w:ascii="仿宋_GB2312" w:hAnsi="Times New Roman" w:eastAsia="仿宋_GB2312" w:cs="Times New Roman"/>
          <w:sz w:val="32"/>
          <w:szCs w:val="32"/>
        </w:rPr>
        <w:t>“经典研修、临床研究、学科交叉、战略思维”4个模块培养，推动岐黄学者掌握经典精华、夯实中医药理论基础，掌握现代科研方法、开展中医临床研究，掌握相关学科最新进展、完善知识结构与学术体系，掌握相关政策、了解中医药发展需求，进一步提升中医药思维能力、临床研究能力、交叉创新能力、战略思维能力。</w:t>
      </w:r>
    </w:p>
    <w:p w14:paraId="4C818E65">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仿宋_GB2312" w:hAnsi="黑体" w:eastAsia="仿宋_GB2312" w:cs="Times New Roman"/>
          <w:sz w:val="32"/>
          <w:szCs w:val="32"/>
        </w:rPr>
      </w:pPr>
      <w:r>
        <w:rPr>
          <w:rFonts w:hint="eastAsia" w:ascii="仿宋_GB2312" w:hAnsi="Times New Roman" w:eastAsia="仿宋_GB2312" w:cs="Times New Roman"/>
          <w:sz w:val="32"/>
          <w:szCs w:val="32"/>
        </w:rPr>
        <w:t>（二）支持</w:t>
      </w:r>
      <w:r>
        <w:rPr>
          <w:rFonts w:hint="eastAsia" w:ascii="仿宋_GB2312" w:hAnsi="黑体" w:eastAsia="仿宋_GB2312" w:cs="Times New Roman"/>
          <w:sz w:val="32"/>
          <w:szCs w:val="32"/>
        </w:rPr>
        <w:t>岐黄学者开展创新性、探索性和应用性研究，解决中医药相关领域的临床或科研难题，产生标志性成果。承担国家级重大建设任务，设立工作室，组建传承创新团队，举办中医药继续教育项目，培养中医药人才。</w:t>
      </w:r>
    </w:p>
    <w:p w14:paraId="3B5CDC06">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（三）支持岐黄学者到基层、企业开展多形式的学术传承、科技咨询、技术服务和推广培训活动，促进中医药学术经验和科技成果向中医药服务能力的转化。</w:t>
      </w:r>
    </w:p>
    <w:p w14:paraId="727E6DF9">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六、考核评价</w:t>
      </w:r>
    </w:p>
    <w:p w14:paraId="018D03D8">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考核评价采取中期考核、终期评价的方式进行。</w:t>
      </w:r>
    </w:p>
    <w:p w14:paraId="2E230BCC">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（一）岐黄学者制定发展计划，提出明确详实的发展目标，与所在单位、省级中医药主管部门等推荐单位和国家中医药管理局签订任务书，作为考核与评价的主要依据。</w:t>
      </w:r>
    </w:p>
    <w:p w14:paraId="64AA53DE">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（二）中期考核由省级中医药主管部门等推荐单位负责，重点考核岐黄学者参加培训、参与重点项目、开展自主研究、落实任务书目标等中期进展情况。</w:t>
      </w:r>
    </w:p>
    <w:p w14:paraId="31714824">
      <w:pPr>
        <w:keepNext w:val="0"/>
        <w:keepLines w:val="0"/>
        <w:pageBreakBefore w:val="0"/>
        <w:widowControl/>
        <w:shd w:val="clear" w:color="auto" w:fill="FFFFFF"/>
        <w:kinsoku/>
        <w:wordWrap/>
        <w:overflowPunct/>
        <w:topLinePunct w:val="0"/>
        <w:bidi w:val="0"/>
        <w:adjustRightInd w:val="0"/>
        <w:snapToGrid w:val="0"/>
        <w:spacing w:line="600" w:lineRule="exact"/>
        <w:ind w:firstLine="643"/>
        <w:textAlignment w:val="auto"/>
        <w:rPr>
          <w:rFonts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（三）终期评价由国家中医药管理局委托第三方机构进行。主要对岐黄学者培养成效、产生的显著性成果或效益、中医药服务能力、群众满意度等方面进行评价。</w:t>
      </w:r>
    </w:p>
    <w:p w14:paraId="21A02D17">
      <w:pPr>
        <w:keepNext w:val="0"/>
        <w:keepLines w:val="0"/>
        <w:pageBreakBefore w:val="0"/>
        <w:widowControl/>
        <w:shd w:val="clear" w:color="auto" w:fill="FFFFFF"/>
        <w:kinsoku/>
        <w:wordWrap/>
        <w:overflowPunct/>
        <w:topLinePunct w:val="0"/>
        <w:bidi w:val="0"/>
        <w:adjustRightInd w:val="0"/>
        <w:snapToGrid w:val="0"/>
        <w:spacing w:line="600" w:lineRule="exact"/>
        <w:ind w:firstLine="643"/>
        <w:textAlignment w:val="auto"/>
        <w:rPr>
          <w:rFonts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（四）终期评价合格岐黄学者经国家中医药管理局审定后，予以公布并颁发结业证书。</w:t>
      </w:r>
    </w:p>
    <w:p w14:paraId="039C9FD0">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仿宋_GB2312" w:hAnsi="黑体" w:eastAsia="仿宋_GB2312" w:cs="Times New Roman"/>
          <w:sz w:val="32"/>
          <w:szCs w:val="32"/>
        </w:rPr>
      </w:pPr>
      <w:r>
        <w:rPr>
          <w:rFonts w:hint="eastAsia" w:ascii="黑体" w:hAnsi="黑体" w:eastAsia="黑体" w:cs="Times New Roman"/>
          <w:sz w:val="32"/>
          <w:szCs w:val="32"/>
        </w:rPr>
        <w:t>七、项目周期</w:t>
      </w:r>
    </w:p>
    <w:p w14:paraId="54BD1F3D">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自名单公布之日起3年。</w:t>
      </w:r>
    </w:p>
    <w:p w14:paraId="37FA9742">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八、经费管理</w:t>
      </w:r>
    </w:p>
    <w:p w14:paraId="73C3BCBC">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仿宋_GB2312" w:hAnsi="黑体" w:eastAsia="仿宋_GB2312" w:cs="Times New Roman"/>
          <w:sz w:val="32"/>
          <w:szCs w:val="32"/>
        </w:rPr>
      </w:pPr>
      <w:r>
        <w:rPr>
          <w:rFonts w:hint="eastAsia" w:ascii="仿宋_GB2312" w:hAnsi="仿宋_GB2312" w:eastAsia="仿宋_GB2312" w:cs="仿宋_GB2312"/>
          <w:sz w:val="32"/>
          <w:szCs w:val="32"/>
        </w:rPr>
        <w:t>国家中医药管理局通过部门预算资金安排项目补助经费，充分发挥中央财政资金的引导作用，鼓励地方、单位按照有关规定多渠道支持项目建设。</w:t>
      </w:r>
      <w:r>
        <w:rPr>
          <w:rFonts w:hint="eastAsia" w:ascii="仿宋_GB2312" w:hAnsi="仿宋_GB2312" w:eastAsia="仿宋_GB2312" w:cs="仿宋_GB2312"/>
          <w:color w:val="000000"/>
          <w:kern w:val="0"/>
          <w:sz w:val="32"/>
          <w:szCs w:val="32"/>
        </w:rPr>
        <w:t>经费使用与管理按照《中医药特色人才培养工程（岐黄工程）资金管理暂行办法》执行</w:t>
      </w:r>
      <w:r>
        <w:rPr>
          <w:rFonts w:hint="eastAsia" w:ascii="仿宋_GB2312" w:hAnsi="仿宋_GB2312" w:eastAsia="仿宋_GB2312" w:cs="仿宋_GB2312"/>
          <w:sz w:val="32"/>
          <w:szCs w:val="32"/>
        </w:rPr>
        <w:t>。</w:t>
      </w:r>
    </w:p>
    <w:p w14:paraId="787BEC44">
      <w:pPr>
        <w:keepNext w:val="0"/>
        <w:keepLines w:val="0"/>
        <w:pageBreakBefore w:val="0"/>
        <w:shd w:val="clear" w:color="auto" w:fill="FFFFFF"/>
        <w:kinsoku/>
        <w:wordWrap/>
        <w:overflowPunct/>
        <w:topLinePunct w:val="0"/>
        <w:bidi w:val="0"/>
        <w:adjustRightInd w:val="0"/>
        <w:snapToGrid w:val="0"/>
        <w:spacing w:line="600" w:lineRule="exact"/>
        <w:ind w:firstLine="640" w:firstLineChars="200"/>
        <w:jc w:val="left"/>
        <w:textAlignment w:val="auto"/>
        <w:rPr>
          <w:rFonts w:ascii="黑体" w:hAnsi="黑体" w:eastAsia="黑体" w:cs="宋体"/>
          <w:color w:val="0C0C0C"/>
          <w:kern w:val="0"/>
          <w:sz w:val="32"/>
          <w:szCs w:val="32"/>
        </w:rPr>
      </w:pPr>
      <w:r>
        <w:rPr>
          <w:rFonts w:hint="eastAsia" w:ascii="黑体" w:hAnsi="黑体" w:eastAsia="黑体" w:cs="宋体"/>
          <w:color w:val="0C0C0C"/>
          <w:kern w:val="0"/>
          <w:sz w:val="32"/>
          <w:szCs w:val="32"/>
        </w:rPr>
        <w:t>九、组织实施</w:t>
      </w:r>
    </w:p>
    <w:p w14:paraId="0B8E1538">
      <w:pPr>
        <w:keepNext w:val="0"/>
        <w:keepLines w:val="0"/>
        <w:pageBreakBefore w:val="0"/>
        <w:shd w:val="clear" w:color="auto" w:fill="FFFFFF"/>
        <w:kinsoku/>
        <w:wordWrap/>
        <w:overflowPunct/>
        <w:topLinePunct w:val="0"/>
        <w:bidi w:val="0"/>
        <w:adjustRightInd w:val="0"/>
        <w:snapToGrid w:val="0"/>
        <w:spacing w:line="600" w:lineRule="exact"/>
        <w:ind w:firstLine="643"/>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（一）国家中医药管理局负责项目的组织实施、过程管理和终期评价，建立以品德、能力和业绩为导向的人才评价机制。</w:t>
      </w:r>
    </w:p>
    <w:p w14:paraId="51DEC283">
      <w:pPr>
        <w:keepNext w:val="0"/>
        <w:keepLines w:val="0"/>
        <w:pageBreakBefore w:val="0"/>
        <w:shd w:val="clear" w:color="auto" w:fill="FFFFFF"/>
        <w:kinsoku/>
        <w:wordWrap/>
        <w:overflowPunct/>
        <w:topLinePunct w:val="0"/>
        <w:bidi w:val="0"/>
        <w:adjustRightInd w:val="0"/>
        <w:snapToGrid w:val="0"/>
        <w:spacing w:line="600" w:lineRule="exact"/>
        <w:ind w:firstLine="643"/>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二）省级中医药主管部门等推荐单位负责制定并落实本地本单位的相关支持政策，优先推荐岐黄学者申报重大项目、评优评先、到基层服务，统筹协调相关支持工作。协助国家中医药管理局负责过程管理，做好遴选、管理、评价与服务等相关工作。</w:t>
      </w:r>
    </w:p>
    <w:p w14:paraId="58C09D79">
      <w:pPr>
        <w:keepNext w:val="0"/>
        <w:keepLines w:val="0"/>
        <w:pageBreakBefore w:val="0"/>
        <w:shd w:val="clear" w:color="auto" w:fill="FFFFFF"/>
        <w:kinsoku/>
        <w:wordWrap/>
        <w:overflowPunct/>
        <w:topLinePunct w:val="0"/>
        <w:bidi w:val="0"/>
        <w:adjustRightInd w:val="0"/>
        <w:snapToGrid w:val="0"/>
        <w:spacing w:line="600" w:lineRule="exact"/>
        <w:ind w:firstLine="643"/>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（三）所在单位制定经费投入和政策保障办法，负责岐黄学者的培养、使用、管理</w:t>
      </w:r>
      <w:r>
        <w:rPr>
          <w:rFonts w:ascii="仿宋_GB2312" w:hAnsi="黑体" w:eastAsia="仿宋_GB2312" w:cs="Times New Roman"/>
          <w:sz w:val="32"/>
          <w:szCs w:val="32"/>
        </w:rPr>
        <w:t>和</w:t>
      </w:r>
      <w:r>
        <w:rPr>
          <w:rFonts w:hint="eastAsia" w:ascii="仿宋_GB2312" w:hAnsi="黑体" w:eastAsia="仿宋_GB2312" w:cs="Times New Roman"/>
          <w:sz w:val="32"/>
          <w:szCs w:val="32"/>
        </w:rPr>
        <w:t>服务等工作，提供必要的工作条件和团队支持。</w:t>
      </w:r>
    </w:p>
    <w:p w14:paraId="0D22B211">
      <w:pPr>
        <w:keepNext w:val="0"/>
        <w:keepLines w:val="0"/>
        <w:pageBreakBefore w:val="0"/>
        <w:widowControl/>
        <w:shd w:val="clear" w:color="auto" w:fill="FFFFFF"/>
        <w:kinsoku/>
        <w:wordWrap/>
        <w:overflowPunct/>
        <w:topLinePunct w:val="0"/>
        <w:bidi w:val="0"/>
        <w:adjustRightInd w:val="0"/>
        <w:snapToGrid w:val="0"/>
        <w:spacing w:line="600" w:lineRule="exact"/>
        <w:ind w:firstLine="643"/>
        <w:textAlignment w:val="auto"/>
        <w:rPr>
          <w:rFonts w:hint="eastAsia" w:ascii="仿宋_GB2312" w:hAnsi="仿宋" w:eastAsia="仿宋_GB2312"/>
          <w:color w:val="0D0D0D"/>
          <w:sz w:val="28"/>
          <w:szCs w:val="28"/>
          <w:lang w:eastAsia="zh-CN"/>
        </w:rPr>
      </w:pPr>
      <w:r>
        <w:rPr>
          <w:rFonts w:hint="eastAsia" w:ascii="仿宋_GB2312" w:hAnsi="黑体" w:eastAsia="仿宋_GB2312" w:cs="Times New Roman"/>
          <w:sz w:val="32"/>
          <w:szCs w:val="32"/>
        </w:rPr>
        <w:t>（四）岐黄学者按要求完成任务，如中期考核不合格或终期评价不合格或造成不良社会影响，将予以退出并收回相关经费。</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992" w:gutter="0"/>
      <w:pgNumType w:fmt="decimal"/>
      <w:cols w:space="425" w:num="1"/>
      <w:titlePg/>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汉仪仿宋简">
    <w:altName w:val="仿宋"/>
    <w:panose1 w:val="02010600000101010101"/>
    <w:charset w:val="86"/>
    <w:family w:val="auto"/>
    <w:pitch w:val="default"/>
    <w:sig w:usb0="00000000" w:usb1="000000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40517">
    <w:pPr>
      <w:pStyle w:val="6"/>
      <w:ind w:left="300" w:leftChars="100" w:right="300" w:rightChars="10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B2EB0">
    <w:pPr>
      <w:pStyle w:val="6"/>
      <w:ind w:left="300" w:leftChars="100" w:right="300" w:rightChars="10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1F252">
    <w:pPr>
      <w:pStyle w:val="6"/>
      <w:ind w:left="300" w:leftChars="100" w:right="300" w:rightChars="10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76FAF">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C6F8">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222BB">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lZGZiZDdhYzQ4ODZhODRjZWQ2MDMyYTY1NWUxMTEifQ=="/>
    <w:docVar w:name="KSO_WPS_MARK_KEY" w:val="569a37db-e6c7-4345-becc-43fbfd2aa057"/>
  </w:docVars>
  <w:rsids>
    <w:rsidRoot w:val="00FF2A5C"/>
    <w:rsid w:val="000449F6"/>
    <w:rsid w:val="00050FF8"/>
    <w:rsid w:val="00063E75"/>
    <w:rsid w:val="00066CF3"/>
    <w:rsid w:val="00072ECE"/>
    <w:rsid w:val="00097920"/>
    <w:rsid w:val="000A725D"/>
    <w:rsid w:val="000B04C5"/>
    <w:rsid w:val="000B4CE2"/>
    <w:rsid w:val="000B643C"/>
    <w:rsid w:val="000C5E90"/>
    <w:rsid w:val="000F14EF"/>
    <w:rsid w:val="000F707D"/>
    <w:rsid w:val="000F7A37"/>
    <w:rsid w:val="0010761A"/>
    <w:rsid w:val="0012492B"/>
    <w:rsid w:val="0016593D"/>
    <w:rsid w:val="00183CAD"/>
    <w:rsid w:val="00195F2B"/>
    <w:rsid w:val="001A7782"/>
    <w:rsid w:val="001D524C"/>
    <w:rsid w:val="00220CA2"/>
    <w:rsid w:val="00225138"/>
    <w:rsid w:val="0023003A"/>
    <w:rsid w:val="00254CB8"/>
    <w:rsid w:val="0025561A"/>
    <w:rsid w:val="00265A19"/>
    <w:rsid w:val="00265A52"/>
    <w:rsid w:val="002744F2"/>
    <w:rsid w:val="00282436"/>
    <w:rsid w:val="002848BA"/>
    <w:rsid w:val="002A4270"/>
    <w:rsid w:val="002C2DDB"/>
    <w:rsid w:val="002C5CC9"/>
    <w:rsid w:val="002C672B"/>
    <w:rsid w:val="002C720F"/>
    <w:rsid w:val="002F0047"/>
    <w:rsid w:val="002F037A"/>
    <w:rsid w:val="002F21BD"/>
    <w:rsid w:val="002F685D"/>
    <w:rsid w:val="003043C5"/>
    <w:rsid w:val="00315222"/>
    <w:rsid w:val="00320646"/>
    <w:rsid w:val="00320B77"/>
    <w:rsid w:val="00326500"/>
    <w:rsid w:val="0033120F"/>
    <w:rsid w:val="00340885"/>
    <w:rsid w:val="0034689C"/>
    <w:rsid w:val="00351550"/>
    <w:rsid w:val="00363AAB"/>
    <w:rsid w:val="00372595"/>
    <w:rsid w:val="003854C5"/>
    <w:rsid w:val="0039181D"/>
    <w:rsid w:val="003A425E"/>
    <w:rsid w:val="003A5B28"/>
    <w:rsid w:val="003C5AD8"/>
    <w:rsid w:val="003C6748"/>
    <w:rsid w:val="003D0EAF"/>
    <w:rsid w:val="003D1B47"/>
    <w:rsid w:val="003D4B9B"/>
    <w:rsid w:val="003E30E3"/>
    <w:rsid w:val="003E5286"/>
    <w:rsid w:val="003F0AD6"/>
    <w:rsid w:val="003F0B6B"/>
    <w:rsid w:val="003F53F9"/>
    <w:rsid w:val="00401E8C"/>
    <w:rsid w:val="004059A6"/>
    <w:rsid w:val="00410FC5"/>
    <w:rsid w:val="00412B19"/>
    <w:rsid w:val="00442C1F"/>
    <w:rsid w:val="00444EAE"/>
    <w:rsid w:val="004663B4"/>
    <w:rsid w:val="00471F6A"/>
    <w:rsid w:val="00473265"/>
    <w:rsid w:val="00480BA5"/>
    <w:rsid w:val="00493802"/>
    <w:rsid w:val="004968EC"/>
    <w:rsid w:val="0049731C"/>
    <w:rsid w:val="004A712B"/>
    <w:rsid w:val="004B7BD1"/>
    <w:rsid w:val="004E78DB"/>
    <w:rsid w:val="004F2249"/>
    <w:rsid w:val="004F28EE"/>
    <w:rsid w:val="004F466F"/>
    <w:rsid w:val="0050019D"/>
    <w:rsid w:val="00503C46"/>
    <w:rsid w:val="005079D0"/>
    <w:rsid w:val="0052164C"/>
    <w:rsid w:val="00524AFD"/>
    <w:rsid w:val="00525006"/>
    <w:rsid w:val="00534453"/>
    <w:rsid w:val="005361A1"/>
    <w:rsid w:val="00537545"/>
    <w:rsid w:val="00552921"/>
    <w:rsid w:val="005562D7"/>
    <w:rsid w:val="00560C41"/>
    <w:rsid w:val="005648B0"/>
    <w:rsid w:val="00592755"/>
    <w:rsid w:val="00594759"/>
    <w:rsid w:val="005A6771"/>
    <w:rsid w:val="005C4FB7"/>
    <w:rsid w:val="005D1253"/>
    <w:rsid w:val="0061030D"/>
    <w:rsid w:val="006106EA"/>
    <w:rsid w:val="00621F89"/>
    <w:rsid w:val="0062343F"/>
    <w:rsid w:val="00630DD1"/>
    <w:rsid w:val="00635479"/>
    <w:rsid w:val="00646198"/>
    <w:rsid w:val="00646237"/>
    <w:rsid w:val="00674367"/>
    <w:rsid w:val="0068515A"/>
    <w:rsid w:val="006854AA"/>
    <w:rsid w:val="00687B38"/>
    <w:rsid w:val="006A1F65"/>
    <w:rsid w:val="006B2667"/>
    <w:rsid w:val="006C06E4"/>
    <w:rsid w:val="006D1738"/>
    <w:rsid w:val="006E2DED"/>
    <w:rsid w:val="006E782E"/>
    <w:rsid w:val="006F2B16"/>
    <w:rsid w:val="006F3F76"/>
    <w:rsid w:val="006F64D7"/>
    <w:rsid w:val="006F666E"/>
    <w:rsid w:val="00706403"/>
    <w:rsid w:val="0071160C"/>
    <w:rsid w:val="00714AE7"/>
    <w:rsid w:val="00714DE1"/>
    <w:rsid w:val="00721B25"/>
    <w:rsid w:val="00740D6A"/>
    <w:rsid w:val="00743802"/>
    <w:rsid w:val="00760A2F"/>
    <w:rsid w:val="00763432"/>
    <w:rsid w:val="007A04BC"/>
    <w:rsid w:val="007B16CC"/>
    <w:rsid w:val="007B1BA1"/>
    <w:rsid w:val="007B7060"/>
    <w:rsid w:val="007C06BD"/>
    <w:rsid w:val="007C240C"/>
    <w:rsid w:val="007D1091"/>
    <w:rsid w:val="007D6AEB"/>
    <w:rsid w:val="007D73FD"/>
    <w:rsid w:val="007E093F"/>
    <w:rsid w:val="007E66CE"/>
    <w:rsid w:val="007F0572"/>
    <w:rsid w:val="00800B31"/>
    <w:rsid w:val="00801A2C"/>
    <w:rsid w:val="00803FC5"/>
    <w:rsid w:val="00812319"/>
    <w:rsid w:val="008151CF"/>
    <w:rsid w:val="008157FC"/>
    <w:rsid w:val="008237CF"/>
    <w:rsid w:val="00836C92"/>
    <w:rsid w:val="00841468"/>
    <w:rsid w:val="008541C3"/>
    <w:rsid w:val="00860272"/>
    <w:rsid w:val="00891162"/>
    <w:rsid w:val="008C29FC"/>
    <w:rsid w:val="008C2B90"/>
    <w:rsid w:val="008D1BC3"/>
    <w:rsid w:val="008D6193"/>
    <w:rsid w:val="008E5B45"/>
    <w:rsid w:val="008F52C1"/>
    <w:rsid w:val="008F5F70"/>
    <w:rsid w:val="00904ADA"/>
    <w:rsid w:val="00905C4F"/>
    <w:rsid w:val="0090640F"/>
    <w:rsid w:val="0091799D"/>
    <w:rsid w:val="00933E1B"/>
    <w:rsid w:val="00934404"/>
    <w:rsid w:val="0094082D"/>
    <w:rsid w:val="009439A2"/>
    <w:rsid w:val="00953544"/>
    <w:rsid w:val="00960206"/>
    <w:rsid w:val="00967082"/>
    <w:rsid w:val="00972AC1"/>
    <w:rsid w:val="00991DF6"/>
    <w:rsid w:val="009A2DE9"/>
    <w:rsid w:val="009B0AF1"/>
    <w:rsid w:val="009D29BE"/>
    <w:rsid w:val="009E040F"/>
    <w:rsid w:val="009F1A1A"/>
    <w:rsid w:val="009F3EFD"/>
    <w:rsid w:val="009F4AF8"/>
    <w:rsid w:val="00A01422"/>
    <w:rsid w:val="00A03F02"/>
    <w:rsid w:val="00A0428A"/>
    <w:rsid w:val="00A15D45"/>
    <w:rsid w:val="00A37D7B"/>
    <w:rsid w:val="00A410B6"/>
    <w:rsid w:val="00A527CF"/>
    <w:rsid w:val="00A56280"/>
    <w:rsid w:val="00A56769"/>
    <w:rsid w:val="00A5699B"/>
    <w:rsid w:val="00A574E4"/>
    <w:rsid w:val="00A63D9A"/>
    <w:rsid w:val="00A87DCA"/>
    <w:rsid w:val="00A9774B"/>
    <w:rsid w:val="00A97A87"/>
    <w:rsid w:val="00AB1C05"/>
    <w:rsid w:val="00AB6055"/>
    <w:rsid w:val="00AC5035"/>
    <w:rsid w:val="00AC7981"/>
    <w:rsid w:val="00AD357A"/>
    <w:rsid w:val="00AE0605"/>
    <w:rsid w:val="00B2209F"/>
    <w:rsid w:val="00B349FF"/>
    <w:rsid w:val="00B36522"/>
    <w:rsid w:val="00B413E5"/>
    <w:rsid w:val="00B602DB"/>
    <w:rsid w:val="00B66C50"/>
    <w:rsid w:val="00B67CED"/>
    <w:rsid w:val="00B761C4"/>
    <w:rsid w:val="00B81853"/>
    <w:rsid w:val="00BA3706"/>
    <w:rsid w:val="00BA53A6"/>
    <w:rsid w:val="00BD1064"/>
    <w:rsid w:val="00BD37EE"/>
    <w:rsid w:val="00BE4817"/>
    <w:rsid w:val="00BF302E"/>
    <w:rsid w:val="00BF38DA"/>
    <w:rsid w:val="00C0329F"/>
    <w:rsid w:val="00C04A4C"/>
    <w:rsid w:val="00C0689E"/>
    <w:rsid w:val="00C22988"/>
    <w:rsid w:val="00C32D74"/>
    <w:rsid w:val="00C3535C"/>
    <w:rsid w:val="00C36257"/>
    <w:rsid w:val="00C441C4"/>
    <w:rsid w:val="00C5052B"/>
    <w:rsid w:val="00C5189C"/>
    <w:rsid w:val="00C63E78"/>
    <w:rsid w:val="00C63FFF"/>
    <w:rsid w:val="00C7370A"/>
    <w:rsid w:val="00C86E7E"/>
    <w:rsid w:val="00C9344D"/>
    <w:rsid w:val="00CA1FB1"/>
    <w:rsid w:val="00CA3ACB"/>
    <w:rsid w:val="00CA61D5"/>
    <w:rsid w:val="00CB19CA"/>
    <w:rsid w:val="00CD18DD"/>
    <w:rsid w:val="00CF6BA0"/>
    <w:rsid w:val="00D1335F"/>
    <w:rsid w:val="00D36CD6"/>
    <w:rsid w:val="00D37101"/>
    <w:rsid w:val="00D4601E"/>
    <w:rsid w:val="00D504BA"/>
    <w:rsid w:val="00D509EB"/>
    <w:rsid w:val="00D53C79"/>
    <w:rsid w:val="00D91338"/>
    <w:rsid w:val="00DA24DF"/>
    <w:rsid w:val="00DA289B"/>
    <w:rsid w:val="00DB2AE2"/>
    <w:rsid w:val="00DB5F41"/>
    <w:rsid w:val="00DC2F55"/>
    <w:rsid w:val="00DE25FB"/>
    <w:rsid w:val="00DE6F44"/>
    <w:rsid w:val="00DF2012"/>
    <w:rsid w:val="00DF21C6"/>
    <w:rsid w:val="00E06B6E"/>
    <w:rsid w:val="00E12B75"/>
    <w:rsid w:val="00E204DE"/>
    <w:rsid w:val="00E41AAB"/>
    <w:rsid w:val="00E757E3"/>
    <w:rsid w:val="00E833CD"/>
    <w:rsid w:val="00E87967"/>
    <w:rsid w:val="00E917FB"/>
    <w:rsid w:val="00E94074"/>
    <w:rsid w:val="00E96DC1"/>
    <w:rsid w:val="00EA4C43"/>
    <w:rsid w:val="00EC09FE"/>
    <w:rsid w:val="00EC47D8"/>
    <w:rsid w:val="00EC6F41"/>
    <w:rsid w:val="00EE1204"/>
    <w:rsid w:val="00EE2719"/>
    <w:rsid w:val="00F025DF"/>
    <w:rsid w:val="00F20D3F"/>
    <w:rsid w:val="00F25396"/>
    <w:rsid w:val="00F3316C"/>
    <w:rsid w:val="00F55379"/>
    <w:rsid w:val="00F5672B"/>
    <w:rsid w:val="00F60F54"/>
    <w:rsid w:val="00F73012"/>
    <w:rsid w:val="00F74684"/>
    <w:rsid w:val="00F838D2"/>
    <w:rsid w:val="00F94B85"/>
    <w:rsid w:val="00F95195"/>
    <w:rsid w:val="00F95C9A"/>
    <w:rsid w:val="00FF0865"/>
    <w:rsid w:val="00FF2A5C"/>
    <w:rsid w:val="06CB3D70"/>
    <w:rsid w:val="0DFE7AA8"/>
    <w:rsid w:val="0F9F64E1"/>
    <w:rsid w:val="192EF342"/>
    <w:rsid w:val="1B7B92A7"/>
    <w:rsid w:val="1BFE32CE"/>
    <w:rsid w:val="24B6095D"/>
    <w:rsid w:val="2FDCC638"/>
    <w:rsid w:val="37B3EB29"/>
    <w:rsid w:val="3B7B15E1"/>
    <w:rsid w:val="3BAF2555"/>
    <w:rsid w:val="3BFFCEE4"/>
    <w:rsid w:val="3D8F5750"/>
    <w:rsid w:val="3F9034D2"/>
    <w:rsid w:val="3FE57744"/>
    <w:rsid w:val="4D7C4D74"/>
    <w:rsid w:val="4EBBFDBC"/>
    <w:rsid w:val="4FBE5CD0"/>
    <w:rsid w:val="53FE5852"/>
    <w:rsid w:val="5ACF2444"/>
    <w:rsid w:val="5DAE23D3"/>
    <w:rsid w:val="5EFBD56D"/>
    <w:rsid w:val="5FDE5BEC"/>
    <w:rsid w:val="6ADFD116"/>
    <w:rsid w:val="6B7EED83"/>
    <w:rsid w:val="6F93C800"/>
    <w:rsid w:val="6FB62605"/>
    <w:rsid w:val="6FCB55A9"/>
    <w:rsid w:val="70FF5F44"/>
    <w:rsid w:val="71B799A3"/>
    <w:rsid w:val="73CFF078"/>
    <w:rsid w:val="767FC184"/>
    <w:rsid w:val="76FC3FF8"/>
    <w:rsid w:val="77BF475A"/>
    <w:rsid w:val="77F7A033"/>
    <w:rsid w:val="797BF948"/>
    <w:rsid w:val="7BB67254"/>
    <w:rsid w:val="7DDD7A53"/>
    <w:rsid w:val="7DEF41D3"/>
    <w:rsid w:val="7DFBCC6A"/>
    <w:rsid w:val="7DFD8D33"/>
    <w:rsid w:val="7E77C3B1"/>
    <w:rsid w:val="7FAFF3AB"/>
    <w:rsid w:val="7FB3F1F3"/>
    <w:rsid w:val="7FB7EEF7"/>
    <w:rsid w:val="7FBB06E5"/>
    <w:rsid w:val="7FF7A74B"/>
    <w:rsid w:val="7FFCF443"/>
    <w:rsid w:val="7FFE11FA"/>
    <w:rsid w:val="8EFC87E8"/>
    <w:rsid w:val="9EBF152A"/>
    <w:rsid w:val="9F7F1840"/>
    <w:rsid w:val="ADEFB933"/>
    <w:rsid w:val="AF9D6544"/>
    <w:rsid w:val="AFAEEB3C"/>
    <w:rsid w:val="B3EF8A0B"/>
    <w:rsid w:val="B6D996CC"/>
    <w:rsid w:val="B7F76804"/>
    <w:rsid w:val="B7FCBF5F"/>
    <w:rsid w:val="BDEE80EC"/>
    <w:rsid w:val="BE696CA1"/>
    <w:rsid w:val="C3F74BEA"/>
    <w:rsid w:val="C5F9589B"/>
    <w:rsid w:val="CEEFE24E"/>
    <w:rsid w:val="CEF774A6"/>
    <w:rsid w:val="CFF248E1"/>
    <w:rsid w:val="D7CD8568"/>
    <w:rsid w:val="D82F8B68"/>
    <w:rsid w:val="D8F902C7"/>
    <w:rsid w:val="DF3CEE06"/>
    <w:rsid w:val="DF7EC986"/>
    <w:rsid w:val="DFF8014A"/>
    <w:rsid w:val="E3FCE6AE"/>
    <w:rsid w:val="EBFFD24F"/>
    <w:rsid w:val="EF269E63"/>
    <w:rsid w:val="F3F72180"/>
    <w:rsid w:val="F5EF3A2E"/>
    <w:rsid w:val="F77DA267"/>
    <w:rsid w:val="F79D8E58"/>
    <w:rsid w:val="F79E1A0A"/>
    <w:rsid w:val="F7FE3844"/>
    <w:rsid w:val="F7FF66BB"/>
    <w:rsid w:val="F96ED66E"/>
    <w:rsid w:val="FB2F365D"/>
    <w:rsid w:val="FB7C069A"/>
    <w:rsid w:val="FDB725FC"/>
    <w:rsid w:val="FDDC0B29"/>
    <w:rsid w:val="FDEFB6C3"/>
    <w:rsid w:val="FEAEABAF"/>
    <w:rsid w:val="FEFB706D"/>
    <w:rsid w:val="FF66CF57"/>
    <w:rsid w:val="FF9F9BD3"/>
    <w:rsid w:val="FFAEE6B7"/>
    <w:rsid w:val="FFEB43A5"/>
    <w:rsid w:val="FFEEF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ind w:firstLine="618"/>
      <w:jc w:val="both"/>
    </w:pPr>
    <w:rPr>
      <w:rFonts w:ascii="Times New Roman" w:hAnsi="Times New Roman" w:eastAsia="仿宋_GB2312" w:cs="Times New Roman"/>
      <w:kern w:val="2"/>
      <w:sz w:val="30"/>
      <w:szCs w:val="20"/>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ody Text Indent"/>
    <w:basedOn w:val="1"/>
    <w:qFormat/>
    <w:uiPriority w:val="0"/>
    <w:pPr>
      <w:ind w:firstLine="600"/>
    </w:pPr>
    <w:rPr>
      <w:rFonts w:ascii="仿宋_GB2312" w:hAnsi="Times New Roman" w:eastAsia="仿宋_GB2312" w:cs="Times New Roman"/>
      <w:sz w:val="24"/>
      <w:szCs w:val="20"/>
    </w:rPr>
  </w:style>
  <w:style w:type="paragraph" w:styleId="4">
    <w:name w:val="Body Text Indent 2"/>
    <w:basedOn w:val="1"/>
    <w:link w:val="21"/>
    <w:qFormat/>
    <w:uiPriority w:val="0"/>
    <w:pPr>
      <w:spacing w:line="500" w:lineRule="exact"/>
      <w:ind w:left="295" w:firstLine="595"/>
    </w:pPr>
    <w:rPr>
      <w:rFonts w:ascii="仿宋_GB2312"/>
    </w:rPr>
  </w:style>
  <w:style w:type="paragraph" w:styleId="5">
    <w:name w:val="Balloon Text"/>
    <w:basedOn w:val="1"/>
    <w:link w:val="15"/>
    <w:semiHidden/>
    <w:unhideWhenUsed/>
    <w:qFormat/>
    <w:uiPriority w:val="99"/>
    <w:pPr>
      <w:spacing w:line="240" w:lineRule="auto"/>
    </w:pPr>
    <w:rPr>
      <w:sz w:val="18"/>
      <w:szCs w:val="18"/>
    </w:rPr>
  </w:style>
  <w:style w:type="paragraph" w:styleId="6">
    <w:name w:val="footer"/>
    <w:basedOn w:val="1"/>
    <w:link w:val="17"/>
    <w:unhideWhenUsed/>
    <w:qFormat/>
    <w:uiPriority w:val="99"/>
    <w:pPr>
      <w:tabs>
        <w:tab w:val="center" w:pos="4153"/>
        <w:tab w:val="right" w:pos="8306"/>
      </w:tabs>
      <w:spacing w:line="240" w:lineRule="auto"/>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8">
    <w:name w:val="Normal (Web)"/>
    <w:basedOn w:val="1"/>
    <w:qFormat/>
    <w:uiPriority w:val="99"/>
    <w:pPr>
      <w:widowControl/>
      <w:adjustRightInd/>
      <w:snapToGrid/>
      <w:spacing w:before="100" w:beforeAutospacing="1" w:after="100" w:afterAutospacing="1" w:line="240" w:lineRule="auto"/>
      <w:ind w:firstLine="0"/>
      <w:jc w:val="left"/>
    </w:pPr>
    <w:rPr>
      <w:rFonts w:ascii="宋体" w:hAnsi="宋体" w:eastAsia="宋体" w:cs="宋体"/>
      <w:kern w:val="0"/>
      <w:sz w:val="24"/>
      <w:szCs w:val="24"/>
    </w:rPr>
  </w:style>
  <w:style w:type="paragraph" w:styleId="9">
    <w:name w:val="annotation subject"/>
    <w:basedOn w:val="2"/>
    <w:next w:val="2"/>
    <w:link w:val="23"/>
    <w:semiHidden/>
    <w:unhideWhenUsed/>
    <w:qFormat/>
    <w:uiPriority w:val="99"/>
    <w:rPr>
      <w:b/>
      <w:bCs/>
    </w:rPr>
  </w:style>
  <w:style w:type="table" w:styleId="11">
    <w:name w:val="Table Grid"/>
    <w:basedOn w:val="10"/>
    <w:qFormat/>
    <w:uiPriority w:val="59"/>
    <w:pPr>
      <w:spacing w:line="240" w:lineRule="auto"/>
      <w:jc w:val="left"/>
    </w:pPr>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customStyle="1" w:styleId="14">
    <w:name w:val="索引 51"/>
    <w:basedOn w:val="1"/>
    <w:next w:val="1"/>
    <w:qFormat/>
    <w:uiPriority w:val="0"/>
    <w:pPr>
      <w:ind w:left="1680"/>
    </w:pPr>
  </w:style>
  <w:style w:type="character" w:customStyle="1" w:styleId="15">
    <w:name w:val="批注框文本 字符"/>
    <w:basedOn w:val="12"/>
    <w:link w:val="5"/>
    <w:semiHidden/>
    <w:qFormat/>
    <w:uiPriority w:val="99"/>
    <w:rPr>
      <w:rFonts w:ascii="Times New Roman"/>
      <w:sz w:val="18"/>
      <w:szCs w:val="18"/>
    </w:rPr>
  </w:style>
  <w:style w:type="character" w:customStyle="1" w:styleId="16">
    <w:name w:val="页眉 字符"/>
    <w:basedOn w:val="12"/>
    <w:link w:val="7"/>
    <w:qFormat/>
    <w:uiPriority w:val="99"/>
    <w:rPr>
      <w:rFonts w:ascii="Times New Roman"/>
      <w:sz w:val="18"/>
      <w:szCs w:val="18"/>
    </w:rPr>
  </w:style>
  <w:style w:type="character" w:customStyle="1" w:styleId="17">
    <w:name w:val="页脚 字符"/>
    <w:basedOn w:val="12"/>
    <w:link w:val="6"/>
    <w:qFormat/>
    <w:uiPriority w:val="99"/>
    <w:rPr>
      <w:rFonts w:ascii="Times New Roman"/>
      <w:sz w:val="18"/>
      <w:szCs w:val="18"/>
    </w:rPr>
  </w:style>
  <w:style w:type="paragraph" w:styleId="18">
    <w:name w:val="List Paragraph"/>
    <w:basedOn w:val="1"/>
    <w:qFormat/>
    <w:uiPriority w:val="34"/>
    <w:pPr>
      <w:ind w:firstLine="420" w:firstLineChars="200"/>
    </w:pPr>
  </w:style>
  <w:style w:type="paragraph" w:customStyle="1" w:styleId="19">
    <w:name w:val="公文正文"/>
    <w:basedOn w:val="1"/>
    <w:link w:val="20"/>
    <w:qFormat/>
    <w:uiPriority w:val="0"/>
    <w:pPr>
      <w:adjustRightInd/>
      <w:snapToGrid/>
      <w:spacing w:line="600" w:lineRule="exact"/>
      <w:ind w:firstLine="640" w:firstLineChars="200"/>
    </w:pPr>
    <w:rPr>
      <w:rFonts w:ascii="仿宋" w:hAnsi="仿宋"/>
      <w:sz w:val="32"/>
      <w:szCs w:val="32"/>
    </w:rPr>
  </w:style>
  <w:style w:type="character" w:customStyle="1" w:styleId="20">
    <w:name w:val="公文正文 Char"/>
    <w:link w:val="19"/>
    <w:qFormat/>
    <w:uiPriority w:val="0"/>
    <w:rPr>
      <w:rFonts w:ascii="仿宋" w:hAnsi="仿宋"/>
    </w:rPr>
  </w:style>
  <w:style w:type="character" w:customStyle="1" w:styleId="21">
    <w:name w:val="正文文本缩进 2 字符"/>
    <w:basedOn w:val="12"/>
    <w:link w:val="4"/>
    <w:qFormat/>
    <w:uiPriority w:val="0"/>
    <w:rPr>
      <w:sz w:val="30"/>
      <w:szCs w:val="20"/>
    </w:rPr>
  </w:style>
  <w:style w:type="character" w:customStyle="1" w:styleId="22">
    <w:name w:val="批注文字 字符"/>
    <w:basedOn w:val="12"/>
    <w:link w:val="2"/>
    <w:semiHidden/>
    <w:qFormat/>
    <w:uiPriority w:val="99"/>
    <w:rPr>
      <w:rFonts w:ascii="Times New Roman"/>
      <w:sz w:val="30"/>
      <w:szCs w:val="20"/>
    </w:rPr>
  </w:style>
  <w:style w:type="character" w:customStyle="1" w:styleId="23">
    <w:name w:val="批注主题 字符"/>
    <w:basedOn w:val="22"/>
    <w:link w:val="9"/>
    <w:semiHidden/>
    <w:qFormat/>
    <w:uiPriority w:val="99"/>
    <w:rPr>
      <w:rFonts w:ascii="Times New Roman"/>
      <w:b/>
      <w:bCs/>
      <w:sz w:val="30"/>
      <w:szCs w:val="20"/>
    </w:rPr>
  </w:style>
  <w:style w:type="table" w:customStyle="1" w:styleId="24">
    <w:name w:val="网格型1"/>
    <w:basedOn w:val="10"/>
    <w:qFormat/>
    <w:uiPriority w:val="59"/>
    <w:pPr>
      <w:spacing w:line="240" w:lineRule="auto"/>
      <w:jc w:val="left"/>
    </w:pPr>
    <w:rPr>
      <w:rFonts w:ascii="Calibri" w:hAnsi="Calibri" w:eastAsia="宋体"/>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2"/>
    <w:basedOn w:val="10"/>
    <w:qFormat/>
    <w:uiPriority w:val="59"/>
    <w:pPr>
      <w:spacing w:line="240" w:lineRule="auto"/>
      <w:jc w:val="left"/>
    </w:pPr>
    <w:rPr>
      <w:rFonts w:ascii="Calibri" w:hAnsi="Calibri" w:eastAsia="宋体"/>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网格型3"/>
    <w:basedOn w:val="10"/>
    <w:qFormat/>
    <w:uiPriority w:val="59"/>
    <w:pPr>
      <w:spacing w:line="240" w:lineRule="auto"/>
      <w:jc w:val="left"/>
    </w:pPr>
    <w:rPr>
      <w:rFonts w:hAnsiTheme="minorHAnsi" w:cstheme="minorBidi"/>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7">
    <w:name w:val="bjh-p"/>
    <w:basedOn w:val="12"/>
    <w:qFormat/>
    <w:uiPriority w:val="0"/>
  </w:style>
  <w:style w:type="character" w:customStyle="1" w:styleId="28">
    <w:name w:val="font21"/>
    <w:basedOn w:val="12"/>
    <w:qFormat/>
    <w:uiPriority w:val="0"/>
    <w:rPr>
      <w:rFonts w:ascii="黑体" w:hAnsi="宋体" w:eastAsia="黑体" w:cs="黑体"/>
      <w:color w:val="000000"/>
      <w:sz w:val="22"/>
      <w:szCs w:val="22"/>
      <w:u w:val="none"/>
    </w:rPr>
  </w:style>
  <w:style w:type="character" w:customStyle="1" w:styleId="29">
    <w:name w:val="font11"/>
    <w:basedOn w:val="12"/>
    <w:qFormat/>
    <w:uiPriority w:val="0"/>
    <w:rPr>
      <w:rFonts w:hint="eastAsia" w:ascii="宋体" w:hAnsi="宋体" w:eastAsia="宋体" w:cs="宋体"/>
      <w:color w:val="000000"/>
      <w:sz w:val="22"/>
      <w:szCs w:val="22"/>
      <w:u w:val="none"/>
    </w:rPr>
  </w:style>
  <w:style w:type="character" w:customStyle="1" w:styleId="30">
    <w:name w:val="font41"/>
    <w:basedOn w:val="12"/>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您的公司名</Company>
  <Pages>6</Pages>
  <Words>4085</Words>
  <Characters>4234</Characters>
  <Lines>22</Lines>
  <Paragraphs>6</Paragraphs>
  <TotalTime>12</TotalTime>
  <ScaleCrop>false</ScaleCrop>
  <LinksUpToDate>false</LinksUpToDate>
  <CharactersWithSpaces>4503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2021-03-05T07:21:00Z</dcterms:created>
  <dc:creator>user</dc:creator>
  <cp:lastModifiedBy>樱桃蜜瓜沙拉</cp:lastModifiedBy>
  <cp:lastPrinted>2024-12-17T14:53:00Z</cp:lastPrinted>
  <dcterms:modified xsi:type="dcterms:W3CDTF">2024-12-17T07:38:57Z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B1BE4CD5A68143069FCE0D6AA899969C_13</vt:lpwstr>
  </property>
</Properties>
</file>