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C8AD4">
      <w:pPr>
        <w:tabs>
          <w:tab w:val="left" w:pos="7655"/>
        </w:tabs>
        <w:suppressAutoHyphens/>
        <w:adjustRightInd w:val="0"/>
        <w:snapToGrid w:val="0"/>
        <w:spacing w:line="600" w:lineRule="exact"/>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14:paraId="0FACF386">
      <w:pPr>
        <w:suppressAutoHyphens/>
        <w:adjustRightInd w:val="0"/>
        <w:snapToGrid w:val="0"/>
        <w:spacing w:line="600" w:lineRule="exact"/>
        <w:rPr>
          <w:rFonts w:ascii="方正小标宋简体" w:hAnsi="黑体" w:eastAsia="方正小标宋简体"/>
          <w:sz w:val="36"/>
          <w:szCs w:val="36"/>
        </w:rPr>
      </w:pPr>
    </w:p>
    <w:p w14:paraId="0D18C76F">
      <w:pPr>
        <w:suppressAutoHyphens/>
        <w:adjustRightInd w:val="0"/>
        <w:snapToGrid w:val="0"/>
        <w:spacing w:line="560" w:lineRule="exact"/>
        <w:jc w:val="center"/>
        <w:rPr>
          <w:rFonts w:ascii="方正小标宋简体" w:hAnsi="黑体" w:eastAsia="方正小标宋简体"/>
          <w:sz w:val="44"/>
          <w:szCs w:val="36"/>
        </w:rPr>
      </w:pPr>
      <w:r>
        <w:rPr>
          <w:rFonts w:ascii="方正小标宋简体" w:hAnsi="黑体" w:eastAsia="方正小标宋简体"/>
          <w:sz w:val="44"/>
          <w:szCs w:val="36"/>
        </w:rPr>
        <w:t>2025</w:t>
      </w:r>
      <w:r>
        <w:rPr>
          <w:rFonts w:hint="eastAsia" w:ascii="方正小标宋简体" w:hAnsi="黑体" w:eastAsia="方正小标宋简体"/>
          <w:sz w:val="44"/>
          <w:szCs w:val="36"/>
        </w:rPr>
        <w:t>年青年岐黄学者培养项目实施方案</w:t>
      </w:r>
    </w:p>
    <w:p w14:paraId="6199A600">
      <w:pPr>
        <w:suppressAutoHyphens/>
        <w:adjustRightInd w:val="0"/>
        <w:snapToGrid w:val="0"/>
        <w:spacing w:line="600" w:lineRule="exact"/>
        <w:rPr>
          <w:rFonts w:ascii="仿宋_GB2312" w:hAnsi="宋体" w:eastAsia="仿宋_GB2312" w:cs="宋体"/>
          <w:bCs/>
          <w:sz w:val="32"/>
          <w:szCs w:val="32"/>
        </w:rPr>
      </w:pPr>
    </w:p>
    <w:p w14:paraId="64EBD6A7">
      <w:pPr>
        <w:suppressAutoHyphens/>
        <w:adjustRightInd w:val="0"/>
        <w:snapToGrid w:val="0"/>
        <w:spacing w:line="600" w:lineRule="exact"/>
        <w:ind w:firstLine="640" w:firstLineChars="200"/>
        <w:rPr>
          <w:rFonts w:ascii="仿宋_GB2312" w:hAnsi="黑体" w:eastAsia="仿宋_GB2312"/>
          <w:spacing w:val="2"/>
          <w:sz w:val="32"/>
          <w:szCs w:val="32"/>
        </w:rPr>
      </w:pPr>
      <w:r>
        <w:rPr>
          <w:rFonts w:hint="eastAsia" w:ascii="仿宋_GB2312" w:hAnsi="宋体" w:eastAsia="仿宋_GB2312" w:cs="宋体"/>
          <w:bCs/>
          <w:sz w:val="32"/>
          <w:szCs w:val="32"/>
        </w:rPr>
        <w:t>为贯彻落实《关于加强新时代中医药人才工作的意见》《“十四五”中医药人才发展规划》等文件要求，</w:t>
      </w:r>
      <w:r>
        <w:rPr>
          <w:rFonts w:hint="eastAsia" w:ascii="仿宋_GB2312" w:hAnsi="黑体" w:eastAsia="仿宋_GB2312"/>
          <w:spacing w:val="2"/>
          <w:sz w:val="32"/>
          <w:szCs w:val="32"/>
        </w:rPr>
        <w:t>促进高层次中医药人才梯队建设，培养一批中医药青年拔尖人才，国家中医药管理局将开展</w:t>
      </w:r>
      <w:r>
        <w:rPr>
          <w:rFonts w:ascii="仿宋_GB2312" w:hAnsi="黑体" w:eastAsia="仿宋_GB2312"/>
          <w:spacing w:val="2"/>
          <w:sz w:val="32"/>
          <w:szCs w:val="32"/>
        </w:rPr>
        <w:t>2025</w:t>
      </w:r>
      <w:r>
        <w:rPr>
          <w:rFonts w:hint="eastAsia" w:ascii="仿宋_GB2312" w:hAnsi="黑体" w:eastAsia="仿宋_GB2312"/>
          <w:spacing w:val="2"/>
          <w:sz w:val="32"/>
          <w:szCs w:val="32"/>
        </w:rPr>
        <w:t>年青年岐黄学者培养项目。为做好项目的组织实施，</w:t>
      </w:r>
      <w:r>
        <w:rPr>
          <w:rFonts w:hint="eastAsia" w:ascii="仿宋_GB2312" w:hAnsi="宋体" w:eastAsia="仿宋_GB2312" w:cs="宋体"/>
          <w:color w:val="0C0C0C"/>
          <w:spacing w:val="-6"/>
          <w:kern w:val="0"/>
          <w:sz w:val="32"/>
          <w:szCs w:val="32"/>
        </w:rPr>
        <w:t>根据《中医药特色人才培养工程（岐黄工程）管理办法》，</w:t>
      </w:r>
      <w:r>
        <w:rPr>
          <w:rFonts w:hint="eastAsia" w:ascii="仿宋_GB2312" w:hAnsi="黑体" w:eastAsia="仿宋_GB2312"/>
          <w:spacing w:val="2"/>
          <w:sz w:val="32"/>
          <w:szCs w:val="32"/>
        </w:rPr>
        <w:t>制定本实施方案。</w:t>
      </w:r>
    </w:p>
    <w:p w14:paraId="373DB8BB">
      <w:pPr>
        <w:suppressAutoHyphens/>
        <w:adjustRightInd w:val="0"/>
        <w:snapToGrid w:val="0"/>
        <w:spacing w:line="600" w:lineRule="exact"/>
        <w:ind w:firstLine="640" w:firstLineChars="200"/>
        <w:jc w:val="left"/>
        <w:rPr>
          <w:rFonts w:ascii="黑体" w:hAnsi="黑体" w:eastAsia="黑体"/>
          <w:sz w:val="32"/>
          <w:szCs w:val="32"/>
        </w:rPr>
      </w:pPr>
      <w:r>
        <w:rPr>
          <w:rFonts w:hint="eastAsia" w:ascii="黑体" w:hAnsi="黑体" w:eastAsia="黑体"/>
          <w:sz w:val="32"/>
          <w:szCs w:val="32"/>
        </w:rPr>
        <w:t>一、目标任务</w:t>
      </w:r>
    </w:p>
    <w:p w14:paraId="1D16F7F2">
      <w:pPr>
        <w:suppressAutoHyphens/>
        <w:adjustRightInd w:val="0"/>
        <w:snapToGrid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聚焦中医药发展需求，选拔</w:t>
      </w:r>
      <w:r>
        <w:rPr>
          <w:rFonts w:ascii="仿宋_GB2312" w:hAnsi="黑体" w:eastAsia="仿宋_GB2312"/>
          <w:sz w:val="32"/>
          <w:szCs w:val="32"/>
        </w:rPr>
        <w:t>100</w:t>
      </w:r>
      <w:r>
        <w:rPr>
          <w:rFonts w:hint="eastAsia" w:ascii="仿宋_GB2312" w:hAnsi="黑体" w:eastAsia="仿宋_GB2312"/>
          <w:sz w:val="32"/>
          <w:szCs w:val="32"/>
        </w:rPr>
        <w:t>名中医药</w:t>
      </w:r>
      <w:r>
        <w:rPr>
          <w:rFonts w:hint="eastAsia" w:ascii="仿宋_GB2312" w:hAnsi="宋体" w:eastAsia="仿宋_GB2312" w:cs="宋体"/>
          <w:kern w:val="0"/>
          <w:sz w:val="32"/>
          <w:szCs w:val="32"/>
        </w:rPr>
        <w:t>专业水平高、传承创新能力强、</w:t>
      </w:r>
      <w:r>
        <w:rPr>
          <w:rFonts w:hint="eastAsia" w:ascii="仿宋_GB2312" w:hAnsi="黑体" w:eastAsia="仿宋_GB2312"/>
          <w:sz w:val="32"/>
          <w:szCs w:val="32"/>
        </w:rPr>
        <w:t>发展势头好的培养对象，支持其发挥专业优势</w:t>
      </w:r>
      <w:r>
        <w:rPr>
          <w:rFonts w:hint="eastAsia" w:ascii="仿宋_GB2312" w:hAnsi="宋体" w:eastAsia="仿宋_GB2312" w:cs="宋体"/>
          <w:kern w:val="0"/>
          <w:sz w:val="32"/>
          <w:szCs w:val="32"/>
        </w:rPr>
        <w:t>深化研修学习，开拓视野，成长为专业能力突出、综合素质优良、提供高水平中医药服务或开展创新性研究的青年拔尖人才</w:t>
      </w:r>
      <w:r>
        <w:rPr>
          <w:rFonts w:hint="eastAsia" w:ascii="仿宋_GB2312" w:hAnsi="黑体" w:eastAsia="仿宋_GB2312"/>
          <w:sz w:val="32"/>
          <w:szCs w:val="32"/>
        </w:rPr>
        <w:t>，形成中医药高层次领军人才的重要后备力量。</w:t>
      </w:r>
    </w:p>
    <w:p w14:paraId="6CE31781">
      <w:pPr>
        <w:suppressAutoHyphens/>
        <w:adjustRightInd w:val="0"/>
        <w:snapToGrid w:val="0"/>
        <w:spacing w:line="600" w:lineRule="exact"/>
        <w:ind w:firstLine="640" w:firstLineChars="200"/>
        <w:jc w:val="left"/>
        <w:rPr>
          <w:rFonts w:ascii="黑体" w:hAnsi="黑体" w:eastAsia="黑体"/>
          <w:sz w:val="32"/>
          <w:szCs w:val="32"/>
        </w:rPr>
      </w:pPr>
      <w:r>
        <w:rPr>
          <w:rFonts w:hint="eastAsia" w:ascii="黑体" w:hAnsi="黑体" w:eastAsia="黑体"/>
          <w:sz w:val="32"/>
          <w:szCs w:val="32"/>
        </w:rPr>
        <w:t>二、遴选条件</w:t>
      </w:r>
    </w:p>
    <w:p w14:paraId="7F6ED813">
      <w:pPr>
        <w:suppressAutoHyphens/>
        <w:adjustRightInd w:val="0"/>
        <w:snapToGrid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申请人应热爱祖国，遵纪守法，坚持科学精神，恪守职业道德，潜心中医药临床或科研一线工作，年龄不超过</w:t>
      </w:r>
      <w:r>
        <w:rPr>
          <w:rFonts w:ascii="仿宋_GB2312" w:hAnsi="黑体" w:eastAsia="仿宋_GB2312"/>
          <w:sz w:val="32"/>
          <w:szCs w:val="32"/>
        </w:rPr>
        <w:t>45</w:t>
      </w:r>
      <w:r>
        <w:rPr>
          <w:rFonts w:hint="eastAsia" w:ascii="仿宋_GB2312" w:hAnsi="黑体" w:eastAsia="仿宋_GB2312"/>
          <w:sz w:val="32"/>
          <w:szCs w:val="32"/>
        </w:rPr>
        <w:t>周岁</w:t>
      </w:r>
      <w:r>
        <w:rPr>
          <w:rFonts w:ascii="仿宋_GB2312" w:hAnsi="仿宋_GB2312" w:eastAsia="仿宋_GB2312"/>
          <w:sz w:val="32"/>
          <w:szCs w:val="32"/>
        </w:rPr>
        <w:t>[</w:t>
      </w:r>
      <w:r>
        <w:rPr>
          <w:rFonts w:ascii="仿宋_GB2312" w:hAnsi="黑体" w:eastAsia="仿宋_GB2312"/>
          <w:sz w:val="32"/>
          <w:szCs w:val="32"/>
        </w:rPr>
        <w:t>1980</w:t>
      </w:r>
      <w:r>
        <w:rPr>
          <w:rFonts w:hint="eastAsia" w:ascii="仿宋_GB2312" w:hAnsi="黑体" w:eastAsia="仿宋_GB2312"/>
          <w:sz w:val="32"/>
          <w:szCs w:val="32"/>
        </w:rPr>
        <w:t>年</w:t>
      </w:r>
      <w:r>
        <w:rPr>
          <w:rFonts w:ascii="仿宋_GB2312" w:hAnsi="黑体" w:eastAsia="仿宋_GB2312"/>
          <w:sz w:val="32"/>
          <w:szCs w:val="32"/>
        </w:rPr>
        <w:t>1</w:t>
      </w:r>
      <w:r>
        <w:rPr>
          <w:rFonts w:hint="eastAsia" w:ascii="仿宋_GB2312" w:hAnsi="黑体" w:eastAsia="仿宋_GB2312"/>
          <w:sz w:val="32"/>
          <w:szCs w:val="32"/>
        </w:rPr>
        <w:t>月</w:t>
      </w:r>
      <w:r>
        <w:rPr>
          <w:rFonts w:ascii="仿宋_GB2312" w:hAnsi="黑体" w:eastAsia="仿宋_GB2312"/>
          <w:sz w:val="32"/>
          <w:szCs w:val="32"/>
        </w:rPr>
        <w:t>1</w:t>
      </w:r>
      <w:r>
        <w:rPr>
          <w:rFonts w:hint="eastAsia" w:ascii="仿宋_GB2312" w:hAnsi="黑体" w:eastAsia="仿宋_GB2312"/>
          <w:sz w:val="32"/>
          <w:szCs w:val="32"/>
        </w:rPr>
        <w:t>日</w:t>
      </w:r>
      <w:r>
        <w:rPr>
          <w:rFonts w:ascii="仿宋_GB2312" w:hAnsi="黑体" w:eastAsia="仿宋_GB2312"/>
          <w:sz w:val="32"/>
          <w:szCs w:val="32"/>
        </w:rPr>
        <w:t>(</w:t>
      </w:r>
      <w:r>
        <w:rPr>
          <w:rFonts w:hint="eastAsia" w:ascii="仿宋_GB2312" w:hAnsi="黑体" w:eastAsia="仿宋_GB2312"/>
          <w:sz w:val="32"/>
          <w:szCs w:val="32"/>
        </w:rPr>
        <w:t>含</w:t>
      </w:r>
      <w:r>
        <w:rPr>
          <w:rFonts w:ascii="仿宋_GB2312" w:hAnsi="黑体" w:eastAsia="仿宋_GB2312"/>
          <w:sz w:val="32"/>
          <w:szCs w:val="32"/>
        </w:rPr>
        <w:t>)</w:t>
      </w:r>
      <w:r>
        <w:rPr>
          <w:rFonts w:hint="eastAsia" w:ascii="仿宋_GB2312" w:hAnsi="黑体" w:eastAsia="仿宋_GB2312"/>
          <w:sz w:val="32"/>
          <w:szCs w:val="32"/>
        </w:rPr>
        <w:t>以后出生</w:t>
      </w:r>
      <w:r>
        <w:rPr>
          <w:rFonts w:ascii="仿宋_GB2312" w:hAnsi="仿宋_GB2312" w:eastAsia="仿宋_GB2312"/>
          <w:sz w:val="32"/>
          <w:szCs w:val="32"/>
        </w:rPr>
        <w:t>]</w:t>
      </w:r>
      <w:r>
        <w:rPr>
          <w:rFonts w:hint="eastAsia" w:ascii="仿宋_GB2312" w:hAnsi="黑体" w:eastAsia="仿宋_GB2312"/>
          <w:sz w:val="32"/>
          <w:szCs w:val="32"/>
        </w:rPr>
        <w:t>，并具备以下条件：</w:t>
      </w:r>
    </w:p>
    <w:p w14:paraId="5018C8B6">
      <w:pPr>
        <w:suppressAutoHyphens/>
        <w:adjustRightInd w:val="0"/>
        <w:snapToGrid w:val="0"/>
        <w:spacing w:line="600" w:lineRule="exact"/>
        <w:ind w:firstLine="624" w:firstLineChars="200"/>
        <w:rPr>
          <w:rFonts w:ascii="楷体_GB2312" w:hAnsi="黑体" w:eastAsia="楷体_GB2312"/>
          <w:b/>
          <w:color w:val="000000"/>
          <w:sz w:val="32"/>
          <w:szCs w:val="32"/>
        </w:rPr>
      </w:pPr>
      <w:r>
        <w:rPr>
          <w:rFonts w:hint="eastAsia" w:ascii="仿宋_GB2312" w:hAnsi="黑体" w:eastAsia="仿宋_GB2312"/>
          <w:spacing w:val="-4"/>
          <w:sz w:val="32"/>
          <w:szCs w:val="32"/>
        </w:rPr>
        <w:t>（一）坚持中医药临床工作，</w:t>
      </w:r>
      <w:r>
        <w:rPr>
          <w:rFonts w:hint="eastAsia" w:ascii="仿宋_GB2312" w:hAnsi="Calibri" w:eastAsia="仿宋_GB2312"/>
          <w:spacing w:val="-4"/>
          <w:sz w:val="32"/>
          <w:szCs w:val="32"/>
        </w:rPr>
        <w:t>有丰富的学术经验、较显著的技术专长；或</w:t>
      </w:r>
      <w:r>
        <w:rPr>
          <w:rFonts w:hint="eastAsia" w:ascii="仿宋_GB2312" w:hAnsi="黑体" w:eastAsia="仿宋_GB2312"/>
          <w:spacing w:val="-4"/>
          <w:sz w:val="32"/>
          <w:szCs w:val="32"/>
        </w:rPr>
        <w:t>坚持中医药科研工作，有</w:t>
      </w:r>
      <w:r>
        <w:rPr>
          <w:rFonts w:hint="eastAsia" w:ascii="仿宋_GB2312" w:eastAsia="仿宋_GB2312"/>
          <w:sz w:val="32"/>
          <w:szCs w:val="32"/>
        </w:rPr>
        <w:t>稳定的研究方向及较高的研究水平。</w:t>
      </w:r>
    </w:p>
    <w:p w14:paraId="4C671DEE">
      <w:pPr>
        <w:suppressAutoHyphens/>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黑体" w:eastAsia="仿宋_GB2312"/>
          <w:color w:val="000000"/>
          <w:sz w:val="32"/>
          <w:szCs w:val="32"/>
        </w:rPr>
        <w:t>（二）具有正高级职称，</w:t>
      </w:r>
      <w:r>
        <w:rPr>
          <w:rFonts w:hint="eastAsia" w:ascii="仿宋_GB2312" w:hAnsi="宋体" w:eastAsia="仿宋_GB2312" w:cs="宋体"/>
          <w:kern w:val="0"/>
          <w:sz w:val="32"/>
          <w:szCs w:val="32"/>
        </w:rPr>
        <w:t>西部地区可放宽至副高级职称，港澳台地区人员可不作职称要求。</w:t>
      </w:r>
    </w:p>
    <w:p w14:paraId="3DF91C6B">
      <w:pPr>
        <w:suppressAutoHyphens/>
        <w:adjustRightInd w:val="0"/>
        <w:snapToGrid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三）中医药理论功底扎实，学术成果较突出，中医药临床业务量大，运用中医药理论诊疗疑难疾病能力在本地区领先，具有一定知名度和社会影响；或学术视野开阔，创新思维活跃，所开展的中医药研究在本地区处于领先地位，</w:t>
      </w:r>
      <w:r>
        <w:rPr>
          <w:rFonts w:hint="eastAsia" w:ascii="仿宋_GB2312" w:eastAsia="仿宋_GB2312"/>
          <w:sz w:val="32"/>
          <w:szCs w:val="32"/>
        </w:rPr>
        <w:t>取得较高水平研究成果，有一定学术影响和运用价值。</w:t>
      </w:r>
    </w:p>
    <w:p w14:paraId="3BBF223F">
      <w:pPr>
        <w:suppressAutoHyphens/>
        <w:adjustRightInd w:val="0"/>
        <w:snapToGrid w:val="0"/>
        <w:spacing w:line="600" w:lineRule="exact"/>
        <w:ind w:firstLine="640" w:firstLineChars="200"/>
        <w:rPr>
          <w:rFonts w:ascii="仿宋_GB2312" w:hAnsi="黑体" w:eastAsia="仿宋_GB2312"/>
          <w:color w:val="000000"/>
          <w:sz w:val="32"/>
          <w:szCs w:val="32"/>
        </w:rPr>
      </w:pPr>
      <w:r>
        <w:rPr>
          <w:rFonts w:hint="eastAsia" w:ascii="仿宋_GB2312" w:hAnsi="黑体" w:eastAsia="仿宋_GB2312"/>
          <w:sz w:val="32"/>
          <w:szCs w:val="32"/>
        </w:rPr>
        <w:t>（四）具有参与或组织重大疑难疾病</w:t>
      </w:r>
      <w:r>
        <w:rPr>
          <w:rFonts w:hint="eastAsia" w:ascii="仿宋_GB2312" w:hAnsi="黑体" w:eastAsia="仿宋_GB2312"/>
          <w:color w:val="000000"/>
          <w:sz w:val="32"/>
          <w:szCs w:val="32"/>
        </w:rPr>
        <w:t>的临床救治、本地区诊疗方案编制、公共卫生事件应急处置等重点临床工作经历；或有</w:t>
      </w:r>
      <w:r>
        <w:rPr>
          <w:rFonts w:hint="eastAsia" w:ascii="仿宋_GB2312" w:eastAsia="仿宋_GB2312"/>
          <w:color w:val="000000"/>
          <w:sz w:val="32"/>
          <w:szCs w:val="32"/>
        </w:rPr>
        <w:t>参与省部级及以上重要科技</w:t>
      </w:r>
      <w:r>
        <w:rPr>
          <w:rFonts w:hint="eastAsia" w:ascii="仿宋_GB2312" w:hAnsi="黑体" w:eastAsia="仿宋_GB2312"/>
          <w:color w:val="000000"/>
          <w:spacing w:val="2"/>
          <w:sz w:val="32"/>
          <w:szCs w:val="32"/>
        </w:rPr>
        <w:t>计划项目（课题）</w:t>
      </w:r>
      <w:r>
        <w:rPr>
          <w:rFonts w:hint="eastAsia" w:ascii="仿宋_GB2312" w:eastAsia="仿宋_GB2312"/>
          <w:color w:val="000000"/>
          <w:sz w:val="32"/>
          <w:szCs w:val="32"/>
        </w:rPr>
        <w:t>的经验。</w:t>
      </w:r>
      <w:r>
        <w:rPr>
          <w:rFonts w:hint="eastAsia" w:ascii="仿宋_GB2312" w:hAnsi="黑体" w:eastAsia="仿宋_GB2312"/>
          <w:color w:val="000000"/>
          <w:sz w:val="32"/>
          <w:szCs w:val="32"/>
        </w:rPr>
        <w:t>有良好的沟通协调和组织管理能力，具有较强的团队凝聚力。</w:t>
      </w:r>
    </w:p>
    <w:p w14:paraId="5E79C112">
      <w:pPr>
        <w:suppressAutoHyphen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三、推荐程序</w:t>
      </w:r>
    </w:p>
    <w:p w14:paraId="05482387">
      <w:pPr>
        <w:suppressAutoHyphens/>
        <w:autoSpaceDE w:val="0"/>
        <w:autoSpaceDN w:val="0"/>
        <w:adjustRightInd w:val="0"/>
        <w:snapToGrid w:val="0"/>
        <w:spacing w:line="600" w:lineRule="exact"/>
        <w:ind w:firstLine="640" w:firstLineChars="200"/>
        <w:rPr>
          <w:rFonts w:ascii="仿宋_GB2312" w:eastAsia="仿宋_GB2312"/>
          <w:sz w:val="32"/>
          <w:szCs w:val="32"/>
        </w:rPr>
      </w:pPr>
      <w:r>
        <w:rPr>
          <w:rFonts w:hint="eastAsia" w:ascii="仿宋_GB2312" w:hAnsi="仿宋" w:eastAsia="仿宋_GB2312"/>
          <w:sz w:val="32"/>
          <w:szCs w:val="32"/>
        </w:rPr>
        <w:t>（一）</w:t>
      </w:r>
      <w:r>
        <w:rPr>
          <w:rFonts w:hint="eastAsia" w:ascii="仿宋_GB2312" w:hAnsi="黑体" w:eastAsia="仿宋_GB2312"/>
          <w:sz w:val="32"/>
          <w:szCs w:val="32"/>
        </w:rPr>
        <w:t>申报推荐实行属地管理、限额申报。</w:t>
      </w:r>
      <w:r>
        <w:rPr>
          <w:rFonts w:hint="eastAsia" w:ascii="仿宋_GB2312" w:hAnsi="仿宋" w:eastAsia="仿宋_GB2312"/>
          <w:sz w:val="32"/>
          <w:szCs w:val="32"/>
        </w:rPr>
        <w:t>各省级中医药主管部门、新疆生产建设兵团卫生健康主管部门负责本地区（包括部属院校及相关机构）的申报推荐工作；中国中医科学院、北京中医药大学负责本单位的申报推荐工作</w:t>
      </w:r>
      <w:r>
        <w:rPr>
          <w:rFonts w:ascii="仿宋_GB2312" w:hAnsi="仿宋" w:eastAsia="仿宋_GB2312"/>
          <w:sz w:val="32"/>
          <w:szCs w:val="32"/>
        </w:rPr>
        <w:t>;</w:t>
      </w:r>
      <w:r>
        <w:rPr>
          <w:rFonts w:hint="eastAsia" w:ascii="仿宋_GB2312" w:hAnsi="仿宋" w:eastAsia="仿宋_GB2312"/>
          <w:sz w:val="32"/>
          <w:szCs w:val="32"/>
        </w:rPr>
        <w:t>国家卫生健康委人事司负责其直属单位的申报推荐工作；中央军委后勤保障部卫生局负责军队相关机构的申报推荐工作；中央港澳工作办公室牵头负责香港、澳门地区的申报推荐工作；在大陆工作且符合条件的台湾居民由所在地区省级中医药主管部门负责申报推荐，不占用所在地区名额</w:t>
      </w:r>
      <w:r>
        <w:rPr>
          <w:rFonts w:hint="eastAsia" w:ascii="仿宋_GB2312" w:eastAsia="仿宋_GB2312"/>
          <w:sz w:val="32"/>
          <w:szCs w:val="32"/>
        </w:rPr>
        <w:t>。</w:t>
      </w:r>
    </w:p>
    <w:p w14:paraId="46CF5DF7">
      <w:pPr>
        <w:suppressAutoHyphens/>
        <w:autoSpaceDE w:val="0"/>
        <w:autoSpaceDN w:val="0"/>
        <w:adjustRightInd w:val="0"/>
        <w:snapToGrid w:val="0"/>
        <w:spacing w:line="600" w:lineRule="exact"/>
        <w:ind w:firstLine="640" w:firstLineChars="200"/>
        <w:rPr>
          <w:rFonts w:ascii="仿宋_GB2312" w:hAnsi="仿宋_GB2312" w:eastAsia="仿宋_GB2312" w:cs="仿宋_GB2312"/>
          <w:bCs/>
          <w:sz w:val="32"/>
          <w:szCs w:val="32"/>
        </w:rPr>
      </w:pPr>
      <w:r>
        <w:rPr>
          <w:rFonts w:hint="eastAsia" w:ascii="仿宋_GB2312" w:hAnsi="黑体" w:eastAsia="仿宋_GB2312"/>
          <w:sz w:val="32"/>
          <w:szCs w:val="32"/>
        </w:rPr>
        <w:t>（二</w:t>
      </w:r>
      <w:r>
        <w:rPr>
          <w:rFonts w:hint="eastAsia" w:ascii="仿宋_GB2312" w:hAnsi="仿宋_GB2312" w:eastAsia="仿宋_GB2312" w:cs="仿宋_GB2312"/>
          <w:bCs/>
          <w:sz w:val="32"/>
          <w:szCs w:val="32"/>
        </w:rPr>
        <w:t>）符合条件的申请人填写</w:t>
      </w:r>
      <w:r>
        <w:rPr>
          <w:rFonts w:hint="eastAsia" w:ascii="仿宋_GB2312" w:hAnsi="黑体" w:eastAsia="仿宋_GB2312"/>
          <w:sz w:val="32"/>
          <w:szCs w:val="32"/>
        </w:rPr>
        <w:t>《申报表》</w:t>
      </w:r>
      <w:r>
        <w:rPr>
          <w:rFonts w:hint="eastAsia" w:ascii="仿宋_GB2312" w:hAnsi="仿宋_GB2312" w:eastAsia="仿宋_GB2312" w:cs="仿宋_GB2312"/>
          <w:bCs/>
          <w:sz w:val="32"/>
          <w:szCs w:val="32"/>
        </w:rPr>
        <w:t>，经所在单位初审后，报</w:t>
      </w:r>
      <w:r>
        <w:rPr>
          <w:rFonts w:hint="eastAsia" w:ascii="仿宋_GB2312" w:hAnsi="仿宋" w:eastAsia="仿宋_GB2312"/>
          <w:sz w:val="32"/>
          <w:szCs w:val="32"/>
        </w:rPr>
        <w:t>各省级中医药主管部门等</w:t>
      </w:r>
      <w:r>
        <w:rPr>
          <w:rFonts w:hint="eastAsia" w:ascii="仿宋_GB2312" w:hAnsi="仿宋_GB2312" w:eastAsia="仿宋_GB2312" w:cs="仿宋_GB2312"/>
          <w:bCs/>
          <w:sz w:val="32"/>
          <w:szCs w:val="32"/>
        </w:rPr>
        <w:t>推荐单位。</w:t>
      </w:r>
    </w:p>
    <w:p w14:paraId="32EE7079">
      <w:pPr>
        <w:suppressAutoHyphens/>
        <w:autoSpaceDE w:val="0"/>
        <w:autoSpaceDN w:val="0"/>
        <w:adjustRightInd w:val="0"/>
        <w:snapToGrid w:val="0"/>
        <w:spacing w:line="60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bCs/>
          <w:color w:val="000000"/>
          <w:sz w:val="32"/>
          <w:szCs w:val="32"/>
        </w:rPr>
        <w:t>（三）</w:t>
      </w:r>
      <w:r>
        <w:rPr>
          <w:rFonts w:hint="eastAsia" w:ascii="仿宋_GB2312" w:hAnsi="宋体" w:eastAsia="仿宋_GB2312" w:cs="宋体"/>
          <w:kern w:val="0"/>
          <w:sz w:val="32"/>
          <w:szCs w:val="32"/>
        </w:rPr>
        <w:t>推荐单位组织专家对申报人的材料进行审核，</w:t>
      </w:r>
      <w:r>
        <w:rPr>
          <w:rFonts w:hint="eastAsia" w:ascii="仿宋_GB2312" w:eastAsia="仿宋_GB2312"/>
          <w:color w:val="000000"/>
          <w:sz w:val="32"/>
          <w:szCs w:val="32"/>
        </w:rPr>
        <w:t>确定本地区（单位）不超过</w:t>
      </w:r>
      <w:r>
        <w:rPr>
          <w:rFonts w:ascii="仿宋_GB2312" w:eastAsia="仿宋_GB2312"/>
          <w:color w:val="000000"/>
          <w:sz w:val="32"/>
          <w:szCs w:val="32"/>
        </w:rPr>
        <w:t>10</w:t>
      </w:r>
      <w:r>
        <w:rPr>
          <w:rFonts w:hint="eastAsia" w:ascii="仿宋_GB2312" w:eastAsia="仿宋_GB2312"/>
          <w:color w:val="000000"/>
          <w:sz w:val="32"/>
          <w:szCs w:val="32"/>
        </w:rPr>
        <w:t>名推荐人选</w:t>
      </w:r>
      <w:r>
        <w:rPr>
          <w:rFonts w:hint="eastAsia" w:ascii="仿宋_GB2312" w:hAnsi="宋体" w:eastAsia="仿宋_GB2312" w:cs="宋体"/>
          <w:color w:val="000000"/>
          <w:kern w:val="0"/>
          <w:sz w:val="32"/>
          <w:szCs w:val="32"/>
        </w:rPr>
        <w:t>并进行排序，</w:t>
      </w:r>
      <w:r>
        <w:rPr>
          <w:rFonts w:hint="eastAsia" w:ascii="仿宋_GB2312" w:hAnsi="宋体" w:eastAsia="仿宋_GB2312" w:cs="宋体"/>
          <w:kern w:val="0"/>
          <w:sz w:val="32"/>
          <w:szCs w:val="32"/>
        </w:rPr>
        <w:t>在本地区（单位）范围内进行公示后报国家中医药管理局。</w:t>
      </w:r>
    </w:p>
    <w:p w14:paraId="23930239">
      <w:pPr>
        <w:suppressAutoHyphen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四、遴选程序</w:t>
      </w:r>
    </w:p>
    <w:p w14:paraId="6E54C86E">
      <w:pPr>
        <w:adjustRightInd w:val="0"/>
        <w:snapToGrid w:val="0"/>
        <w:spacing w:line="600" w:lineRule="exact"/>
        <w:ind w:firstLine="640" w:firstLineChars="200"/>
        <w:rPr>
          <w:rFonts w:ascii="仿宋_GB2312" w:hAnsi="华文仿宋" w:eastAsia="仿宋_GB2312"/>
          <w:color w:val="0C0C0C"/>
          <w:sz w:val="32"/>
          <w:szCs w:val="32"/>
        </w:rPr>
      </w:pPr>
      <w:r>
        <w:rPr>
          <w:rFonts w:hint="eastAsia" w:ascii="仿宋_GB2312" w:hAnsi="华文仿宋" w:eastAsia="仿宋_GB2312"/>
          <w:color w:val="0C0C0C"/>
          <w:sz w:val="32"/>
          <w:szCs w:val="32"/>
        </w:rPr>
        <w:t>国家中医药管理局成立遴选工作办公室，负责制定遴选工作办法，组建专家库和专家委员会，组织专家委员会开展遴选工作。</w:t>
      </w:r>
      <w:r>
        <w:rPr>
          <w:rFonts w:hint="eastAsia" w:ascii="仿宋_GB2312" w:hAnsi="宋体" w:eastAsia="仿宋_GB2312" w:cs="宋体"/>
          <w:bCs/>
          <w:color w:val="0C0C0C"/>
          <w:kern w:val="0"/>
          <w:sz w:val="32"/>
          <w:szCs w:val="32"/>
        </w:rPr>
        <w:t>项目遴选</w:t>
      </w:r>
      <w:r>
        <w:rPr>
          <w:rFonts w:hint="eastAsia" w:ascii="仿宋_GB2312" w:hAnsi="华文仿宋" w:eastAsia="仿宋_GB2312" w:cs="华文仿宋"/>
          <w:color w:val="0C0C0C"/>
          <w:kern w:val="0"/>
          <w:sz w:val="32"/>
          <w:szCs w:val="32"/>
        </w:rPr>
        <w:t>坚持专家评审与行政决策相结合、竞争择优与区域平衡相结合的原则，</w:t>
      </w:r>
      <w:r>
        <w:rPr>
          <w:rFonts w:hint="eastAsia" w:ascii="仿宋_GB2312" w:hAnsi="华文仿宋" w:eastAsia="仿宋_GB2312"/>
          <w:color w:val="0C0C0C"/>
          <w:sz w:val="32"/>
          <w:szCs w:val="32"/>
        </w:rPr>
        <w:t>遴选程序如下：</w:t>
      </w:r>
    </w:p>
    <w:p w14:paraId="1139F5F2">
      <w:pPr>
        <w:adjustRightInd w:val="0"/>
        <w:snapToGrid w:val="0"/>
        <w:spacing w:line="600" w:lineRule="exact"/>
        <w:ind w:firstLine="643" w:firstLineChars="200"/>
        <w:rPr>
          <w:rFonts w:ascii="仿宋_GB2312" w:hAnsi="华文仿宋" w:eastAsia="仿宋_GB2312" w:cs="华文仿宋"/>
          <w:color w:val="0C0C0C"/>
          <w:kern w:val="0"/>
          <w:sz w:val="32"/>
          <w:szCs w:val="32"/>
        </w:rPr>
      </w:pPr>
      <w:r>
        <w:rPr>
          <w:rFonts w:hint="eastAsia" w:ascii="楷体_GB2312" w:hAnsi="楷体_GB2312" w:eastAsia="楷体_GB2312" w:cs="楷体_GB2312"/>
          <w:b/>
          <w:color w:val="0C0C0C"/>
          <w:kern w:val="0"/>
          <w:sz w:val="32"/>
          <w:szCs w:val="32"/>
        </w:rPr>
        <w:t>（一）形式审核。</w:t>
      </w:r>
      <w:r>
        <w:rPr>
          <w:rFonts w:hint="eastAsia" w:ascii="仿宋_GB2312" w:hAnsi="华文仿宋" w:eastAsia="仿宋_GB2312" w:cs="华文仿宋"/>
          <w:color w:val="0C0C0C"/>
          <w:kern w:val="0"/>
          <w:sz w:val="32"/>
          <w:szCs w:val="32"/>
        </w:rPr>
        <w:t>由遴选工作办公室负责，主要对候选人申报条件、公示等情况进行审核，并对候选人的申报材料开展一致性比对和客观评价。</w:t>
      </w:r>
    </w:p>
    <w:p w14:paraId="760C1365">
      <w:pPr>
        <w:adjustRightInd w:val="0"/>
        <w:snapToGrid w:val="0"/>
        <w:spacing w:line="600" w:lineRule="exact"/>
        <w:ind w:firstLine="643" w:firstLineChars="200"/>
        <w:rPr>
          <w:rFonts w:ascii="仿宋_GB2312" w:hAnsi="华文仿宋" w:eastAsia="仿宋_GB2312" w:cs="华文仿宋"/>
          <w:color w:val="0C0C0C"/>
          <w:kern w:val="0"/>
          <w:sz w:val="32"/>
          <w:szCs w:val="32"/>
        </w:rPr>
      </w:pPr>
      <w:r>
        <w:rPr>
          <w:rFonts w:hint="eastAsia" w:ascii="楷体_GB2312" w:hAnsi="楷体_GB2312" w:eastAsia="楷体_GB2312" w:cs="楷体_GB2312"/>
          <w:b/>
          <w:color w:val="0C0C0C"/>
          <w:kern w:val="0"/>
          <w:sz w:val="32"/>
          <w:szCs w:val="32"/>
        </w:rPr>
        <w:t>（二）网上评审。</w:t>
      </w:r>
      <w:r>
        <w:rPr>
          <w:rFonts w:hint="eastAsia" w:ascii="仿宋_GB2312" w:hAnsi="华文仿宋" w:eastAsia="仿宋_GB2312" w:cs="华文仿宋"/>
          <w:color w:val="0C0C0C"/>
          <w:kern w:val="0"/>
          <w:sz w:val="32"/>
          <w:szCs w:val="32"/>
        </w:rPr>
        <w:t>由遴选工作办公室负责，采取同行网上评阅材料的方式进行。通过网评的候选人，一致性比对结果存在异常的，提交专家委员会裁定，确定是否进入会议评审环节。</w:t>
      </w:r>
    </w:p>
    <w:p w14:paraId="6DF94DEA">
      <w:pPr>
        <w:adjustRightInd w:val="0"/>
        <w:snapToGrid w:val="0"/>
        <w:spacing w:line="600" w:lineRule="exact"/>
        <w:ind w:firstLine="643" w:firstLineChars="200"/>
        <w:rPr>
          <w:rFonts w:ascii="仿宋_GB2312" w:hAnsi="华文仿宋" w:eastAsia="仿宋_GB2312" w:cs="华文仿宋"/>
          <w:b/>
          <w:color w:val="0C0C0C"/>
          <w:kern w:val="0"/>
          <w:sz w:val="32"/>
          <w:szCs w:val="32"/>
        </w:rPr>
      </w:pPr>
      <w:r>
        <w:rPr>
          <w:rFonts w:hint="eastAsia" w:ascii="楷体_GB2312" w:hAnsi="楷体_GB2312" w:eastAsia="楷体_GB2312" w:cs="楷体_GB2312"/>
          <w:b/>
          <w:color w:val="0C0C0C"/>
          <w:kern w:val="0"/>
          <w:sz w:val="32"/>
          <w:szCs w:val="32"/>
        </w:rPr>
        <w:t>（三）会议评审。</w:t>
      </w:r>
      <w:bookmarkStart w:id="0" w:name="OLE_LINK9"/>
      <w:bookmarkStart w:id="1" w:name="OLE_LINK8"/>
      <w:r>
        <w:rPr>
          <w:rFonts w:hint="eastAsia" w:ascii="仿宋_GB2312" w:hAnsi="华文仿宋" w:eastAsia="仿宋_GB2312" w:cs="华文仿宋"/>
          <w:color w:val="0C0C0C"/>
          <w:kern w:val="0"/>
          <w:sz w:val="32"/>
          <w:szCs w:val="32"/>
        </w:rPr>
        <w:t>由专家委员会负责，</w:t>
      </w:r>
      <w:bookmarkEnd w:id="0"/>
      <w:bookmarkEnd w:id="1"/>
      <w:r>
        <w:rPr>
          <w:rFonts w:hint="eastAsia" w:ascii="仿宋_GB2312" w:hAnsi="华文仿宋" w:eastAsia="仿宋_GB2312" w:cs="华文仿宋"/>
          <w:color w:val="0C0C0C"/>
          <w:kern w:val="0"/>
          <w:sz w:val="32"/>
          <w:szCs w:val="32"/>
        </w:rPr>
        <w:t>采取评阅材料、会议讨论、实名投票等程序产生进入答辩人选。</w:t>
      </w:r>
    </w:p>
    <w:p w14:paraId="6623D8F7">
      <w:pPr>
        <w:adjustRightInd w:val="0"/>
        <w:snapToGrid w:val="0"/>
        <w:spacing w:line="600" w:lineRule="exact"/>
        <w:ind w:firstLine="643" w:firstLineChars="200"/>
        <w:rPr>
          <w:rFonts w:ascii="仿宋_GB2312" w:hAnsi="华文仿宋" w:eastAsia="仿宋_GB2312" w:cs="华文仿宋"/>
          <w:color w:val="0C0C0C"/>
          <w:kern w:val="0"/>
          <w:sz w:val="32"/>
          <w:szCs w:val="32"/>
        </w:rPr>
      </w:pPr>
      <w:r>
        <w:rPr>
          <w:rFonts w:hint="eastAsia" w:ascii="楷体_GB2312" w:hAnsi="楷体_GB2312" w:eastAsia="楷体_GB2312" w:cs="楷体_GB2312"/>
          <w:b/>
          <w:color w:val="0C0C0C"/>
          <w:kern w:val="0"/>
          <w:sz w:val="32"/>
          <w:szCs w:val="32"/>
        </w:rPr>
        <w:t>（四）答辩。</w:t>
      </w:r>
      <w:r>
        <w:rPr>
          <w:rFonts w:hint="eastAsia" w:ascii="仿宋_GB2312" w:hAnsi="华文仿宋" w:eastAsia="仿宋_GB2312" w:cs="华文仿宋"/>
          <w:color w:val="0C0C0C"/>
          <w:kern w:val="0"/>
          <w:sz w:val="32"/>
          <w:szCs w:val="32"/>
        </w:rPr>
        <w:t>由专家委员会负责，采取听取候选人汇报、专家提问、</w:t>
      </w:r>
      <w:bookmarkStart w:id="2" w:name="OLE_LINK7"/>
      <w:r>
        <w:rPr>
          <w:rFonts w:hint="eastAsia" w:ascii="仿宋_GB2312" w:hAnsi="华文仿宋" w:eastAsia="仿宋_GB2312" w:cs="华文仿宋"/>
          <w:color w:val="0C0C0C"/>
          <w:kern w:val="0"/>
          <w:sz w:val="32"/>
          <w:szCs w:val="32"/>
        </w:rPr>
        <w:t>实名投票等程序产生建议人选。</w:t>
      </w:r>
    </w:p>
    <w:bookmarkEnd w:id="2"/>
    <w:p w14:paraId="7608A615">
      <w:pPr>
        <w:adjustRightInd w:val="0"/>
        <w:snapToGrid w:val="0"/>
        <w:spacing w:line="600" w:lineRule="exact"/>
        <w:ind w:firstLine="643" w:firstLineChars="200"/>
        <w:rPr>
          <w:rFonts w:ascii="仿宋_GB2312" w:hAnsi="华文仿宋" w:eastAsia="仿宋_GB2312" w:cs="华文仿宋"/>
          <w:color w:val="0C0C0C"/>
          <w:kern w:val="0"/>
          <w:sz w:val="32"/>
          <w:szCs w:val="32"/>
        </w:rPr>
      </w:pPr>
      <w:r>
        <w:rPr>
          <w:rFonts w:hint="eastAsia" w:ascii="楷体_GB2312" w:hAnsi="楷体_GB2312" w:eastAsia="楷体_GB2312" w:cs="楷体_GB2312"/>
          <w:b/>
          <w:color w:val="0C0C0C"/>
          <w:kern w:val="0"/>
          <w:sz w:val="32"/>
          <w:szCs w:val="32"/>
        </w:rPr>
        <w:t>（五）公示。</w:t>
      </w:r>
      <w:r>
        <w:rPr>
          <w:rFonts w:hint="eastAsia" w:ascii="仿宋_GB2312" w:hAnsi="华文仿宋" w:eastAsia="仿宋_GB2312" w:cs="华文仿宋"/>
          <w:color w:val="0C0C0C"/>
          <w:kern w:val="0"/>
          <w:sz w:val="32"/>
          <w:szCs w:val="32"/>
        </w:rPr>
        <w:t>国家中医药管理局审定建议人选名单，在政府网站公示5个工作日。遴选工作办公室负责受理调查公示异议情况，调查结果由专家委员会审议后，报国家中医药管理局。</w:t>
      </w:r>
    </w:p>
    <w:p w14:paraId="1B1F15ED">
      <w:pPr>
        <w:adjustRightInd w:val="0"/>
        <w:snapToGrid w:val="0"/>
        <w:spacing w:line="600" w:lineRule="exact"/>
        <w:ind w:firstLine="643" w:firstLineChars="200"/>
        <w:rPr>
          <w:rFonts w:ascii="仿宋_GB2312" w:hAnsi="华文仿宋" w:eastAsia="仿宋_GB2312" w:cs="华文仿宋"/>
          <w:color w:val="0C0C0C"/>
          <w:kern w:val="0"/>
          <w:sz w:val="32"/>
          <w:szCs w:val="32"/>
        </w:rPr>
      </w:pPr>
      <w:r>
        <w:rPr>
          <w:rFonts w:hint="eastAsia" w:ascii="楷体_GB2312" w:hAnsi="楷体_GB2312" w:eastAsia="楷体_GB2312" w:cs="楷体_GB2312"/>
          <w:b/>
          <w:color w:val="0C0C0C"/>
          <w:kern w:val="0"/>
          <w:sz w:val="32"/>
          <w:szCs w:val="32"/>
        </w:rPr>
        <w:t>（六）公布。</w:t>
      </w:r>
      <w:r>
        <w:rPr>
          <w:rFonts w:hint="eastAsia" w:ascii="仿宋_GB2312" w:hAnsi="华文仿宋" w:eastAsia="仿宋_GB2312" w:cs="华文仿宋"/>
          <w:color w:val="0C0C0C"/>
          <w:kern w:val="0"/>
          <w:sz w:val="32"/>
          <w:szCs w:val="32"/>
        </w:rPr>
        <w:t>国家中医药管理局根据公示情况，公布青年岐黄学者培养项目入选人员名单。</w:t>
      </w:r>
    </w:p>
    <w:p w14:paraId="605BDCD0">
      <w:pPr>
        <w:suppressAutoHyphen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五、培养内容</w:t>
      </w:r>
    </w:p>
    <w:p w14:paraId="49C6C948">
      <w:pPr>
        <w:suppressAutoHyphens/>
        <w:adjustRightInd w:val="0"/>
        <w:snapToGrid w:val="0"/>
        <w:spacing w:line="600" w:lineRule="exact"/>
        <w:ind w:firstLine="640" w:firstLineChars="200"/>
        <w:rPr>
          <w:rFonts w:ascii="仿宋_GB2312" w:eastAsia="仿宋_GB2312"/>
          <w:sz w:val="32"/>
          <w:szCs w:val="32"/>
        </w:rPr>
      </w:pPr>
      <w:r>
        <w:rPr>
          <w:rFonts w:hint="eastAsia" w:ascii="仿宋_GB2312" w:hAnsi="宋体" w:eastAsia="仿宋_GB2312" w:cs="宋体"/>
          <w:color w:val="0C0C0C"/>
          <w:kern w:val="0"/>
          <w:sz w:val="32"/>
          <w:szCs w:val="32"/>
        </w:rPr>
        <w:t>（一）通过</w:t>
      </w:r>
      <w:r>
        <w:rPr>
          <w:rFonts w:hint="eastAsia" w:ascii="仿宋_GB2312" w:eastAsia="仿宋_GB2312"/>
          <w:sz w:val="32"/>
          <w:szCs w:val="32"/>
        </w:rPr>
        <w:t>“经典研修、跟师学习、临床研究、综合素养”</w:t>
      </w:r>
      <w:r>
        <w:rPr>
          <w:rFonts w:ascii="仿宋_GB2312" w:eastAsia="仿宋_GB2312"/>
          <w:sz w:val="32"/>
          <w:szCs w:val="32"/>
        </w:rPr>
        <w:t>4</w:t>
      </w:r>
      <w:r>
        <w:rPr>
          <w:rFonts w:hint="eastAsia" w:ascii="仿宋_GB2312" w:eastAsia="仿宋_GB2312"/>
          <w:sz w:val="32"/>
          <w:szCs w:val="32"/>
        </w:rPr>
        <w:t>个模块培养，推动项目人选加强经典学习，夯实中医药理论基础，强化中医药思维能力培养；加强跟师学习，</w:t>
      </w:r>
      <w:r>
        <w:rPr>
          <w:rFonts w:hint="eastAsia" w:ascii="仿宋_GB2312" w:hAnsi="黑体" w:eastAsia="仿宋_GB2312"/>
          <w:sz w:val="32"/>
          <w:szCs w:val="32"/>
        </w:rPr>
        <w:t>跟随院士、国医大师等中医药名医名家开展学习与研究，强化中医药临床和实践能力培养；加强前沿科学知识与</w:t>
      </w:r>
      <w:r>
        <w:rPr>
          <w:rFonts w:hint="eastAsia" w:ascii="仿宋_GB2312" w:eastAsia="仿宋_GB2312"/>
          <w:sz w:val="32"/>
          <w:szCs w:val="32"/>
        </w:rPr>
        <w:t>现代科研方法学习，开展中医临床研究，强化临床和实践能力培养；加强相关理论政策与人文学习、了解中医药发展需求，强化综合素养能力培养。</w:t>
      </w:r>
    </w:p>
    <w:p w14:paraId="472C677D">
      <w:pPr>
        <w:shd w:val="clear" w:color="auto" w:fill="FFFFFF"/>
        <w:suppressAutoHyphens/>
        <w:adjustRightInd w:val="0"/>
        <w:snapToGrid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（二）支持</w:t>
      </w:r>
      <w:r>
        <w:rPr>
          <w:rFonts w:hint="eastAsia" w:ascii="仿宋_GB2312" w:eastAsia="仿宋_GB2312"/>
          <w:sz w:val="32"/>
          <w:szCs w:val="32"/>
        </w:rPr>
        <w:t>项目人选</w:t>
      </w:r>
      <w:r>
        <w:rPr>
          <w:rFonts w:hint="eastAsia" w:ascii="仿宋_GB2312" w:hAnsi="黑体" w:eastAsia="仿宋_GB2312"/>
          <w:sz w:val="32"/>
          <w:szCs w:val="32"/>
        </w:rPr>
        <w:t>参与疑难疾病攻关、重大科技项目、重点建设专项、重点学科、重点专科（专病）等重点工作。在临床实践中优化中医临床诊疗方案和中药特色技术，产生显著性效益，或自主选题开展应用性、探索性和创新性研究，产生显著性成果。</w:t>
      </w:r>
    </w:p>
    <w:p w14:paraId="6D7270DF">
      <w:pPr>
        <w:suppressAutoHyphens/>
        <w:adjustRightInd w:val="0"/>
        <w:snapToGrid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（三）支持项</w:t>
      </w:r>
      <w:r>
        <w:rPr>
          <w:rFonts w:hint="eastAsia" w:ascii="仿宋_GB2312" w:eastAsia="仿宋_GB2312"/>
          <w:sz w:val="32"/>
          <w:szCs w:val="32"/>
        </w:rPr>
        <w:t>目人选</w:t>
      </w:r>
      <w:r>
        <w:rPr>
          <w:rFonts w:hint="eastAsia" w:ascii="仿宋_GB2312" w:hAnsi="黑体" w:eastAsia="仿宋_GB2312"/>
          <w:sz w:val="32"/>
          <w:szCs w:val="32"/>
        </w:rPr>
        <w:t>申报国家重大人才工程项目、科技计划项目或课题、成果转化。支持到基层、企业开展多种形式的学术传承、科技咨询、技术服务和推广培训活动，促进中医药学术经验和科技成果向中医药服务能力转化。</w:t>
      </w:r>
    </w:p>
    <w:p w14:paraId="38EBCD0E">
      <w:pPr>
        <w:widowControl/>
        <w:shd w:val="clear" w:color="auto" w:fill="FFFFFF"/>
        <w:suppressAutoHyphens/>
        <w:adjustRightInd w:val="0"/>
        <w:snapToGrid w:val="0"/>
        <w:spacing w:line="600" w:lineRule="exact"/>
        <w:ind w:firstLine="640" w:firstLineChars="200"/>
        <w:rPr>
          <w:rFonts w:ascii="黑体" w:hAnsi="黑体" w:eastAsia="黑体" w:cs="宋体"/>
          <w:color w:val="0C0C0C"/>
          <w:kern w:val="0"/>
          <w:sz w:val="32"/>
          <w:szCs w:val="32"/>
        </w:rPr>
      </w:pPr>
      <w:r>
        <w:rPr>
          <w:rFonts w:hint="eastAsia" w:ascii="黑体" w:hAnsi="黑体" w:eastAsia="黑体" w:cs="宋体"/>
          <w:color w:val="0C0C0C"/>
          <w:kern w:val="0"/>
          <w:sz w:val="32"/>
          <w:szCs w:val="32"/>
        </w:rPr>
        <w:t>六、考核评价</w:t>
      </w:r>
    </w:p>
    <w:p w14:paraId="6DC9732C">
      <w:pPr>
        <w:suppressAutoHyphens/>
        <w:adjustRightInd w:val="0"/>
        <w:snapToGrid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考核评价采取中期考核、终期评价的方式进行。</w:t>
      </w:r>
    </w:p>
    <w:p w14:paraId="23FA9A4E">
      <w:pPr>
        <w:suppressAutoHyphens/>
        <w:adjustRightInd w:val="0"/>
        <w:snapToGrid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eastAsia="仿宋_GB2312"/>
          <w:sz w:val="32"/>
          <w:szCs w:val="32"/>
        </w:rPr>
        <w:t>项目人选</w:t>
      </w:r>
      <w:r>
        <w:rPr>
          <w:rFonts w:hint="eastAsia" w:ascii="仿宋_GB2312" w:hAnsi="黑体" w:eastAsia="仿宋_GB2312"/>
          <w:sz w:val="32"/>
          <w:szCs w:val="32"/>
        </w:rPr>
        <w:t>制定发展计划，提出明确详实的发展目标，与所在单位、省级中医药主管部门等推荐单位和国家中医药管理局签订任务书，作为考核与评价的主要依据。</w:t>
      </w:r>
    </w:p>
    <w:p w14:paraId="4FE3FB94">
      <w:pPr>
        <w:suppressAutoHyphens/>
        <w:adjustRightInd w:val="0"/>
        <w:snapToGrid w:val="0"/>
        <w:spacing w:line="600" w:lineRule="exact"/>
        <w:ind w:firstLine="640" w:firstLineChars="200"/>
        <w:rPr>
          <w:rFonts w:ascii="黑体" w:hAnsi="黑体" w:eastAsia="黑体" w:cs="宋体"/>
          <w:color w:val="0C0C0C"/>
          <w:kern w:val="0"/>
          <w:sz w:val="32"/>
          <w:szCs w:val="32"/>
        </w:rPr>
      </w:pPr>
      <w:r>
        <w:rPr>
          <w:rFonts w:hint="eastAsia" w:ascii="仿宋_GB2312" w:hAnsi="黑体" w:eastAsia="仿宋_GB2312"/>
          <w:sz w:val="32"/>
          <w:szCs w:val="32"/>
        </w:rPr>
        <w:t>（二）中期考核由省级中医药主管部门等推荐单位负责，重点考核</w:t>
      </w:r>
      <w:r>
        <w:rPr>
          <w:rFonts w:hint="eastAsia" w:ascii="仿宋_GB2312" w:eastAsia="仿宋_GB2312"/>
          <w:sz w:val="32"/>
          <w:szCs w:val="32"/>
        </w:rPr>
        <w:t>项目人选</w:t>
      </w:r>
      <w:r>
        <w:rPr>
          <w:rFonts w:hint="eastAsia" w:ascii="仿宋_GB2312" w:hAnsi="黑体" w:eastAsia="仿宋_GB2312"/>
          <w:sz w:val="32"/>
          <w:szCs w:val="32"/>
        </w:rPr>
        <w:t>接受培养、参与重点项目、落实任务书目标等中期进展情况。</w:t>
      </w:r>
    </w:p>
    <w:p w14:paraId="3D630B7F">
      <w:pPr>
        <w:shd w:val="clear" w:color="auto" w:fill="FFFFFF"/>
        <w:suppressAutoHyphens/>
        <w:adjustRightInd w:val="0"/>
        <w:snapToGrid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（三）终期评价由国家中医药管理局委托第三方机构进行。主要对</w:t>
      </w:r>
      <w:r>
        <w:rPr>
          <w:rFonts w:hint="eastAsia" w:ascii="仿宋_GB2312" w:eastAsia="仿宋_GB2312"/>
          <w:sz w:val="32"/>
          <w:szCs w:val="32"/>
        </w:rPr>
        <w:t>项目人选</w:t>
      </w:r>
      <w:r>
        <w:rPr>
          <w:rFonts w:hint="eastAsia" w:ascii="仿宋_GB2312" w:hAnsi="黑体" w:eastAsia="仿宋_GB2312"/>
          <w:sz w:val="32"/>
          <w:szCs w:val="32"/>
        </w:rPr>
        <w:t>培养成效、产生的显著性成果或效益、中医药服务能力、群众满意度等方面进行评价。</w:t>
      </w:r>
    </w:p>
    <w:p w14:paraId="5BCB8BF2">
      <w:pPr>
        <w:shd w:val="clear" w:color="auto" w:fill="FFFFFF"/>
        <w:suppressAutoHyphens/>
        <w:adjustRightInd w:val="0"/>
        <w:snapToGrid w:val="0"/>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（四）终期评价合格青年岐黄学者培养项目人选经国家中医药管理局审定后，予以公布。</w:t>
      </w:r>
    </w:p>
    <w:p w14:paraId="4AD8933C">
      <w:pPr>
        <w:suppressAutoHyphens/>
        <w:adjustRightInd w:val="0"/>
        <w:snapToGrid w:val="0"/>
        <w:spacing w:line="600" w:lineRule="exact"/>
        <w:ind w:firstLine="640" w:firstLineChars="200"/>
        <w:rPr>
          <w:rFonts w:ascii="仿宋_GB2312" w:hAnsi="黑体" w:eastAsia="仿宋_GB2312"/>
          <w:sz w:val="32"/>
          <w:szCs w:val="32"/>
        </w:rPr>
      </w:pPr>
      <w:r>
        <w:rPr>
          <w:rFonts w:hint="eastAsia" w:ascii="黑体" w:hAnsi="黑体" w:eastAsia="黑体"/>
          <w:sz w:val="32"/>
          <w:szCs w:val="32"/>
        </w:rPr>
        <w:t>七、项目周期</w:t>
      </w:r>
    </w:p>
    <w:p w14:paraId="22074C2B">
      <w:pPr>
        <w:suppressAutoHyphens/>
        <w:adjustRightInd w:val="0"/>
        <w:snapToGrid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自名单公布之日起</w:t>
      </w:r>
      <w:r>
        <w:rPr>
          <w:rFonts w:ascii="仿宋_GB2312" w:hAnsi="黑体" w:eastAsia="仿宋_GB2312"/>
          <w:sz w:val="32"/>
          <w:szCs w:val="32"/>
        </w:rPr>
        <w:t>3</w:t>
      </w:r>
      <w:r>
        <w:rPr>
          <w:rFonts w:hint="eastAsia" w:ascii="仿宋_GB2312" w:hAnsi="黑体" w:eastAsia="仿宋_GB2312"/>
          <w:sz w:val="32"/>
          <w:szCs w:val="32"/>
        </w:rPr>
        <w:t>年。</w:t>
      </w:r>
    </w:p>
    <w:p w14:paraId="2D7A7328">
      <w:pPr>
        <w:suppressAutoHyphen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八、经费管理</w:t>
      </w:r>
    </w:p>
    <w:p w14:paraId="0FB421DB">
      <w:pPr>
        <w:suppressAutoHyphens/>
        <w:adjustRightInd w:val="0"/>
        <w:snapToGrid w:val="0"/>
        <w:spacing w:line="600" w:lineRule="exact"/>
        <w:ind w:firstLine="640" w:firstLineChars="200"/>
        <w:rPr>
          <w:rFonts w:ascii="仿宋_GB2312" w:hAnsi="黑体" w:eastAsia="仿宋_GB2312"/>
          <w:sz w:val="32"/>
          <w:szCs w:val="32"/>
        </w:rPr>
      </w:pPr>
      <w:r>
        <w:rPr>
          <w:rFonts w:hint="eastAsia" w:ascii="仿宋_GB2312" w:hAnsi="仿宋_GB2312" w:eastAsia="仿宋_GB2312" w:cs="仿宋_GB2312"/>
          <w:sz w:val="32"/>
          <w:szCs w:val="32"/>
        </w:rPr>
        <w:t>国家中医药管理局通过部门预算资金安排项目补助经费，充分发挥中央财政资金的引导作用，鼓励地方、单位按照有关规定多渠道支持项目建设。</w:t>
      </w:r>
      <w:r>
        <w:rPr>
          <w:rFonts w:hint="eastAsia" w:ascii="仿宋_GB2312" w:hAnsi="仿宋_GB2312" w:eastAsia="仿宋_GB2312" w:cs="仿宋_GB2312"/>
          <w:color w:val="000000"/>
          <w:kern w:val="0"/>
          <w:sz w:val="32"/>
          <w:szCs w:val="32"/>
        </w:rPr>
        <w:t>经费使用与管理按照《中医药特色人才培养工程（岐黄工程）资金管理暂行办法》执行</w:t>
      </w:r>
      <w:r>
        <w:rPr>
          <w:rFonts w:hint="eastAsia" w:ascii="仿宋_GB2312" w:hAnsi="仿宋_GB2312" w:eastAsia="仿宋_GB2312" w:cs="仿宋_GB2312"/>
          <w:sz w:val="32"/>
          <w:szCs w:val="32"/>
        </w:rPr>
        <w:t>。</w:t>
      </w:r>
    </w:p>
    <w:p w14:paraId="41AC13DB">
      <w:pPr>
        <w:suppressAutoHyphen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九、组织实施</w:t>
      </w:r>
    </w:p>
    <w:p w14:paraId="41219E28">
      <w:pPr>
        <w:widowControl/>
        <w:shd w:val="clear" w:color="auto" w:fill="FFFFFF"/>
        <w:suppressAutoHyphens/>
        <w:adjustRightInd w:val="0"/>
        <w:snapToGrid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（一）国家中医药管理局负责项目的组织实施、过程管理和终期评价，建立以品德、能力和业绩为导向的人才评价机制。</w:t>
      </w:r>
    </w:p>
    <w:p w14:paraId="058DF0F6">
      <w:pPr>
        <w:widowControl/>
        <w:shd w:val="clear" w:color="auto" w:fill="FFFFFF"/>
        <w:suppressAutoHyphens/>
        <w:adjustRightInd w:val="0"/>
        <w:snapToGrid w:val="0"/>
        <w:spacing w:line="600" w:lineRule="exact"/>
        <w:ind w:firstLine="664" w:firstLineChars="200"/>
        <w:rPr>
          <w:rFonts w:ascii="仿宋_GB2312" w:hAnsi="黑体" w:eastAsia="仿宋_GB2312"/>
          <w:spacing w:val="6"/>
          <w:sz w:val="32"/>
          <w:szCs w:val="32"/>
        </w:rPr>
      </w:pPr>
      <w:r>
        <w:rPr>
          <w:rFonts w:hint="eastAsia" w:ascii="仿宋_GB2312" w:hAnsi="黑体" w:eastAsia="仿宋_GB2312"/>
          <w:spacing w:val="6"/>
          <w:sz w:val="32"/>
          <w:szCs w:val="32"/>
        </w:rPr>
        <w:t>（二）省级中医药主管部门等推荐单位负责制定并落实本地本单位的相关支持政策，优先推荐</w:t>
      </w:r>
      <w:r>
        <w:rPr>
          <w:rFonts w:hint="eastAsia" w:ascii="仿宋_GB2312" w:eastAsia="仿宋_GB2312"/>
          <w:sz w:val="32"/>
          <w:szCs w:val="32"/>
        </w:rPr>
        <w:t>项目人选</w:t>
      </w:r>
      <w:r>
        <w:rPr>
          <w:rFonts w:hint="eastAsia" w:ascii="仿宋_GB2312" w:hAnsi="黑体" w:eastAsia="仿宋_GB2312"/>
          <w:spacing w:val="6"/>
          <w:sz w:val="32"/>
          <w:szCs w:val="32"/>
        </w:rPr>
        <w:t>申报重大项目、评优评先、到基层服务，统筹协调相关支持工作。协助国家中医药管理局负责过程管理，做好遴选、管理、评价与服务等相关工作。</w:t>
      </w:r>
    </w:p>
    <w:p w14:paraId="17C5448A">
      <w:pPr>
        <w:widowControl/>
        <w:shd w:val="clear" w:color="auto" w:fill="FFFFFF"/>
        <w:suppressAutoHyphens/>
        <w:adjustRightInd w:val="0"/>
        <w:snapToGrid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（三）所在单位制定经费投入和政策保障办法，负责</w:t>
      </w:r>
      <w:r>
        <w:rPr>
          <w:rFonts w:hint="eastAsia" w:ascii="仿宋_GB2312" w:eastAsia="仿宋_GB2312"/>
          <w:sz w:val="32"/>
          <w:szCs w:val="32"/>
        </w:rPr>
        <w:t>项目人选</w:t>
      </w:r>
      <w:r>
        <w:rPr>
          <w:rFonts w:hint="eastAsia" w:ascii="仿宋_GB2312" w:hAnsi="黑体" w:eastAsia="仿宋_GB2312"/>
          <w:sz w:val="32"/>
          <w:szCs w:val="32"/>
        </w:rPr>
        <w:t>的培养、使用、管理和服务等工作，提供必要的工作条件和团队支持。</w:t>
      </w:r>
    </w:p>
    <w:p w14:paraId="22361353">
      <w:pPr>
        <w:shd w:val="clear" w:color="auto" w:fill="FFFFFF"/>
        <w:suppressAutoHyphens/>
        <w:adjustRightInd w:val="0"/>
        <w:snapToGrid w:val="0"/>
        <w:spacing w:line="600" w:lineRule="exact"/>
        <w:ind w:firstLine="640" w:firstLineChars="200"/>
        <w:rPr>
          <w:rFonts w:hint="default"/>
          <w:lang w:val="en-US" w:eastAsia="zh-CN"/>
        </w:rPr>
      </w:pPr>
      <w:r>
        <w:rPr>
          <w:rFonts w:hint="eastAsia" w:ascii="仿宋_GB2312" w:hAnsi="黑体" w:eastAsia="仿宋_GB2312"/>
          <w:sz w:val="32"/>
          <w:szCs w:val="32"/>
        </w:rPr>
        <w:t>（四）</w:t>
      </w:r>
      <w:r>
        <w:rPr>
          <w:rFonts w:hint="eastAsia" w:ascii="仿宋_GB2312" w:eastAsia="仿宋_GB2312"/>
          <w:sz w:val="32"/>
          <w:szCs w:val="32"/>
        </w:rPr>
        <w:t>项目人选</w:t>
      </w:r>
      <w:r>
        <w:rPr>
          <w:rFonts w:hint="eastAsia" w:ascii="仿宋_GB2312" w:hAnsi="黑体" w:eastAsia="仿宋_GB2312"/>
          <w:spacing w:val="-11"/>
          <w:sz w:val="32"/>
          <w:szCs w:val="32"/>
        </w:rPr>
        <w:t>按要求完成任务，如中期考核不合格或终期评价不合格或造成不良社会影响，将予以退出并收回相关经费</w:t>
      </w:r>
      <w:r>
        <w:rPr>
          <w:rFonts w:hint="eastAsia" w:ascii="仿宋_GB2312" w:hAnsi="黑体" w:eastAsia="仿宋_GB2312"/>
          <w:spacing w:val="-11"/>
          <w:sz w:val="32"/>
          <w:szCs w:val="32"/>
          <w:lang w:eastAsia="zh-CN"/>
        </w:rPr>
        <w:t>。</w:t>
      </w:r>
      <w:bookmarkStart w:id="3" w:name="_GoBack"/>
      <w:bookmarkEnd w:id="3"/>
    </w:p>
    <w:sectPr>
      <w:headerReference r:id="rId3" w:type="default"/>
      <w:footerReference r:id="rId5" w:type="default"/>
      <w:headerReference r:id="rId4" w:type="even"/>
      <w:footerReference r:id="rId6" w:type="even"/>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汉仪仿宋简">
    <w:altName w:val="仿宋"/>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汉仪中宋简">
    <w:altName w:val="宋体"/>
    <w:panose1 w:val="02010600000101010101"/>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6BB7E">
    <w:pPr>
      <w:widowControl w:val="0"/>
      <w:wordWrap/>
      <w:snapToGrid w:val="0"/>
      <w:jc w:val="center"/>
      <w:rPr>
        <w:rFonts w:hint="default" w:ascii="宋体" w:hAnsi="宋体" w:eastAsia="等线" w:cs="Times New Roman"/>
        <w:kern w:val="2"/>
        <w:sz w:val="28"/>
        <w:szCs w:val="28"/>
        <w:lang w:val="en-US" w:eastAsia="zh-CN" w:bidi="ar-SA"/>
      </w:rPr>
    </w:pPr>
    <w:r>
      <w:rPr>
        <w:rFonts w:hint="eastAsia" w:asciiTheme="majorEastAsia" w:hAnsiTheme="majorEastAsia" w:eastAsiaTheme="majorEastAsia"/>
        <w:sz w:val="28"/>
        <w:szCs w:val="28"/>
      </w:rPr>
      <w:t>—</w:t>
    </w:r>
    <w:r>
      <w:rPr>
        <w:rFonts w:hint="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475</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BDD44">
    <w:pPr>
      <w:widowControl w:val="0"/>
      <w:snapToGrid w:val="0"/>
      <w:jc w:val="center"/>
      <w:rPr>
        <w:rFonts w:ascii="宋体" w:hAnsi="宋体" w:eastAsia="宋体" w:cs="Times New Roman"/>
        <w:kern w:val="2"/>
        <w:sz w:val="28"/>
        <w:szCs w:val="28"/>
        <w:lang w:val="en-US" w:eastAsia="zh-CN" w:bidi="ar-SA"/>
      </w:rPr>
    </w:pPr>
    <w:r>
      <w:rPr>
        <w:rFonts w:hint="eastAsia" w:asciiTheme="majorEastAsia" w:hAnsiTheme="majorEastAsia" w:eastAsiaTheme="majorEastAsia"/>
        <w:sz w:val="28"/>
        <w:szCs w:val="28"/>
      </w:rPr>
      <w:t>—</w:t>
    </w:r>
    <w:r>
      <w:rPr>
        <w:rFonts w:hint="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475</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652F9">
    <w:pPr>
      <w:tabs>
        <w:tab w:val="center" w:pos="4153"/>
        <w:tab w:val="right" w:pos="8306"/>
      </w:tabs>
      <w:adjustRightInd w:val="0"/>
      <w:snapToGrid w:val="0"/>
      <w:jc w:val="center"/>
      <w:rPr>
        <w:rFonts w:ascii="Times New Roman" w:hAnsi="Times New Roman" w:eastAsia="仿宋_GB2312"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95552">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EF5"/>
    <w:rsid w:val="00022B6D"/>
    <w:rsid w:val="00027419"/>
    <w:rsid w:val="00035130"/>
    <w:rsid w:val="000B16B5"/>
    <w:rsid w:val="000C4A34"/>
    <w:rsid w:val="001105D9"/>
    <w:rsid w:val="0011112D"/>
    <w:rsid w:val="00111685"/>
    <w:rsid w:val="00111967"/>
    <w:rsid w:val="00134FFF"/>
    <w:rsid w:val="001A198E"/>
    <w:rsid w:val="001D2ACA"/>
    <w:rsid w:val="00200A5C"/>
    <w:rsid w:val="00207240"/>
    <w:rsid w:val="00236BC8"/>
    <w:rsid w:val="00240336"/>
    <w:rsid w:val="00243E29"/>
    <w:rsid w:val="0026246C"/>
    <w:rsid w:val="00281215"/>
    <w:rsid w:val="00285906"/>
    <w:rsid w:val="002A189C"/>
    <w:rsid w:val="002A1B93"/>
    <w:rsid w:val="002C562E"/>
    <w:rsid w:val="002F44A0"/>
    <w:rsid w:val="00361501"/>
    <w:rsid w:val="00361C0E"/>
    <w:rsid w:val="0036288A"/>
    <w:rsid w:val="003A0C21"/>
    <w:rsid w:val="0040600E"/>
    <w:rsid w:val="004563E3"/>
    <w:rsid w:val="004A2A58"/>
    <w:rsid w:val="004B5D13"/>
    <w:rsid w:val="004C164D"/>
    <w:rsid w:val="00512E3B"/>
    <w:rsid w:val="00563B6C"/>
    <w:rsid w:val="00566153"/>
    <w:rsid w:val="00566D33"/>
    <w:rsid w:val="005755DE"/>
    <w:rsid w:val="005979C0"/>
    <w:rsid w:val="005B15C6"/>
    <w:rsid w:val="005B607D"/>
    <w:rsid w:val="005B6A30"/>
    <w:rsid w:val="005D3A48"/>
    <w:rsid w:val="00620F0D"/>
    <w:rsid w:val="0063571E"/>
    <w:rsid w:val="00641371"/>
    <w:rsid w:val="006F4751"/>
    <w:rsid w:val="00702950"/>
    <w:rsid w:val="0070794D"/>
    <w:rsid w:val="00744CE0"/>
    <w:rsid w:val="00780E59"/>
    <w:rsid w:val="0078622D"/>
    <w:rsid w:val="007A784E"/>
    <w:rsid w:val="007D2616"/>
    <w:rsid w:val="007F3048"/>
    <w:rsid w:val="00801ABB"/>
    <w:rsid w:val="008140A0"/>
    <w:rsid w:val="00852AF3"/>
    <w:rsid w:val="00870C9A"/>
    <w:rsid w:val="00880851"/>
    <w:rsid w:val="008F49AD"/>
    <w:rsid w:val="00907C49"/>
    <w:rsid w:val="009572C9"/>
    <w:rsid w:val="00980282"/>
    <w:rsid w:val="009F1EF4"/>
    <w:rsid w:val="00A11142"/>
    <w:rsid w:val="00A83530"/>
    <w:rsid w:val="00AA0A3D"/>
    <w:rsid w:val="00AA4B91"/>
    <w:rsid w:val="00AE7C83"/>
    <w:rsid w:val="00AF04F3"/>
    <w:rsid w:val="00B3181C"/>
    <w:rsid w:val="00B3345F"/>
    <w:rsid w:val="00B64B95"/>
    <w:rsid w:val="00BC25DC"/>
    <w:rsid w:val="00BD0124"/>
    <w:rsid w:val="00BD39F4"/>
    <w:rsid w:val="00C124D2"/>
    <w:rsid w:val="00C74D0B"/>
    <w:rsid w:val="00CD5B68"/>
    <w:rsid w:val="00CF322A"/>
    <w:rsid w:val="00D27BED"/>
    <w:rsid w:val="00D412C2"/>
    <w:rsid w:val="00D5203C"/>
    <w:rsid w:val="00D84EF5"/>
    <w:rsid w:val="00D85870"/>
    <w:rsid w:val="00D874E1"/>
    <w:rsid w:val="00D9182D"/>
    <w:rsid w:val="00DE16C7"/>
    <w:rsid w:val="00E72C7D"/>
    <w:rsid w:val="00EB13FA"/>
    <w:rsid w:val="00EB35C9"/>
    <w:rsid w:val="00ED1ABA"/>
    <w:rsid w:val="00ED2F11"/>
    <w:rsid w:val="00ED5D02"/>
    <w:rsid w:val="00F015FD"/>
    <w:rsid w:val="00F53A24"/>
    <w:rsid w:val="00F70865"/>
    <w:rsid w:val="00FD14CD"/>
    <w:rsid w:val="34FB6DC4"/>
    <w:rsid w:val="3AEE42C6"/>
    <w:rsid w:val="3BE2DF50"/>
    <w:rsid w:val="4F9B67C4"/>
    <w:rsid w:val="54FB2A17"/>
    <w:rsid w:val="59FD5E02"/>
    <w:rsid w:val="67FFA977"/>
    <w:rsid w:val="6C7A010A"/>
    <w:rsid w:val="72EFEB63"/>
    <w:rsid w:val="795FFC77"/>
    <w:rsid w:val="7C5E5F97"/>
    <w:rsid w:val="7FDE9EC1"/>
    <w:rsid w:val="7FF3DC1D"/>
    <w:rsid w:val="7FF7C122"/>
    <w:rsid w:val="876911F8"/>
    <w:rsid w:val="8BFE2A81"/>
    <w:rsid w:val="9FE7BEF7"/>
    <w:rsid w:val="BAF74370"/>
    <w:rsid w:val="D97780FF"/>
    <w:rsid w:val="E7F77076"/>
    <w:rsid w:val="FAB6450E"/>
    <w:rsid w:val="FBFF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批注框文本 Char"/>
    <w:basedOn w:val="8"/>
    <w:link w:val="3"/>
    <w:semiHidden/>
    <w:qFormat/>
    <w:uiPriority w:val="99"/>
    <w:rPr>
      <w:sz w:val="18"/>
      <w:szCs w:val="18"/>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8734</Words>
  <Characters>8908</Characters>
  <Lines>2</Lines>
  <Paragraphs>1</Paragraphs>
  <TotalTime>191</TotalTime>
  <ScaleCrop>false</ScaleCrop>
  <LinksUpToDate>false</LinksUpToDate>
  <CharactersWithSpaces>9211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2022-08-25T11:17:00Z</dcterms:created>
  <dc:creator>admin</dc:creator>
  <cp:lastModifiedBy>樱桃蜜瓜沙拉</cp:lastModifiedBy>
  <cp:lastPrinted>2025-06-20T12:02:00Z</cp:lastPrinted>
  <dcterms:modified xsi:type="dcterms:W3CDTF">2025-06-20T07:47:36Z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eyJoZGlkIjoiODZhYjg0M2MzMzc5MjlkN2M1N2Y1OTUyZjUxNWNiOWMiLCJ1c2VySWQiOiIyMTIwNzI3OTYifQ==</vt:lpwstr>
  </property>
  <property fmtid="{D5CDD505-2E9C-101B-9397-08002B2CF9AE}" pid="4" name="ICV">
    <vt:lpwstr>870B1D2DAEED4E78A31BE9741BC76930_13</vt:lpwstr>
  </property>
</Properties>
</file>