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6E3C">
      <w:pPr>
        <w:overflowPunct w:val="0"/>
        <w:spacing w:line="600" w:lineRule="exact"/>
        <w:rPr>
          <w:rFonts w:ascii="Times New Roman Regular" w:hAnsi="Times New Roman Regular" w:eastAsia="黑体" w:cs="Times New Roman Regular"/>
          <w:bCs/>
          <w:color w:val="36363D"/>
          <w:sz w:val="32"/>
          <w:szCs w:val="32"/>
        </w:rPr>
      </w:pPr>
      <w:r>
        <w:rPr>
          <w:rFonts w:ascii="Times New Roman Regular" w:hAnsi="Times New Roman Regular" w:eastAsia="黑体" w:cs="Times New Roman Regular"/>
          <w:bCs/>
          <w:color w:val="36363D"/>
          <w:sz w:val="32"/>
          <w:szCs w:val="32"/>
        </w:rPr>
        <w:t>附件1</w:t>
      </w:r>
    </w:p>
    <w:p w14:paraId="33BAC445">
      <w:pPr>
        <w:pStyle w:val="3"/>
        <w:overflowPunct w:val="0"/>
        <w:spacing w:line="600" w:lineRule="exact"/>
        <w:rPr>
          <w:rFonts w:ascii="Times New Roman Regular" w:hAnsi="Times New Roman Regular" w:cs="Times New Roman Regular"/>
        </w:rPr>
      </w:pPr>
    </w:p>
    <w:p w14:paraId="1F08680E">
      <w:pPr>
        <w:overflowPunct w:val="0"/>
        <w:spacing w:line="600" w:lineRule="exact"/>
        <w:jc w:val="center"/>
        <w:rPr>
          <w:rFonts w:ascii="Times New Roman Regular" w:hAnsi="Times New Roman Regular" w:eastAsia="方正小标宋简体" w:cs="Times New Roman Regular"/>
          <w:sz w:val="44"/>
          <w:szCs w:val="44"/>
        </w:rPr>
      </w:pPr>
      <w:r>
        <w:rPr>
          <w:rFonts w:ascii="Times New Roman Regular" w:hAnsi="Times New Roman Regular" w:eastAsia="方正小标宋简体" w:cs="Times New Roman Regular"/>
          <w:sz w:val="44"/>
          <w:szCs w:val="44"/>
        </w:rPr>
        <w:t>第</w:t>
      </w:r>
      <w:r>
        <w:rPr>
          <w:rFonts w:hint="eastAsia" w:ascii="Times New Roman Regular" w:hAnsi="Times New Roman Regular" w:eastAsia="方正小标宋简体" w:cs="Times New Roman Regular"/>
          <w:sz w:val="44"/>
          <w:szCs w:val="44"/>
        </w:rPr>
        <w:t>五</w:t>
      </w:r>
      <w:r>
        <w:rPr>
          <w:rFonts w:ascii="Times New Roman Regular" w:hAnsi="Times New Roman Regular" w:eastAsia="方正小标宋简体" w:cs="Times New Roman Regular"/>
          <w:sz w:val="44"/>
          <w:szCs w:val="44"/>
        </w:rPr>
        <w:t>届全国说医解药科普大赛</w:t>
      </w:r>
    </w:p>
    <w:p w14:paraId="208CA486">
      <w:pPr>
        <w:overflowPunct w:val="0"/>
        <w:spacing w:line="600" w:lineRule="exact"/>
        <w:jc w:val="center"/>
        <w:rPr>
          <w:rFonts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rPr>
        <w:t>参考方案</w:t>
      </w:r>
    </w:p>
    <w:p w14:paraId="4E906E70">
      <w:pPr>
        <w:pStyle w:val="3"/>
        <w:spacing w:line="600" w:lineRule="exact"/>
        <w:ind w:firstLine="0" w:firstLineChars="0"/>
        <w:rPr>
          <w:rFonts w:hint="eastAsia"/>
        </w:rPr>
      </w:pPr>
    </w:p>
    <w:p w14:paraId="15E99CA7">
      <w:pPr>
        <w:spacing w:line="600" w:lineRule="exact"/>
        <w:ind w:firstLine="640" w:firstLineChars="200"/>
        <w:rPr>
          <w:rFonts w:hint="eastAsia" w:ascii="黑体" w:hAnsi="黑体" w:eastAsia="黑体" w:cs="黑体"/>
          <w:sz w:val="32"/>
        </w:rPr>
      </w:pPr>
      <w:bookmarkStart w:id="0" w:name="_Toc23356"/>
      <w:r>
        <w:rPr>
          <w:rFonts w:hint="eastAsia" w:ascii="黑体" w:hAnsi="黑体" w:eastAsia="黑体" w:cs="黑体"/>
          <w:sz w:val="32"/>
        </w:rPr>
        <w:t>一、活动背景</w:t>
      </w:r>
    </w:p>
    <w:p w14:paraId="3E2B5D9A">
      <w:pPr>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为进一步贯彻落实《关于新时代进一步加强科学技术普及工作的意见》精神，助力健康中国建设，按照</w:t>
      </w:r>
      <w:r>
        <w:rPr>
          <w:rFonts w:hint="eastAsia" w:ascii="仿宋_GB2312" w:hAnsi="仿宋_GB2312" w:eastAsia="仿宋_GB2312" w:cs="仿宋_GB2312"/>
          <w:kern w:val="0"/>
          <w:sz w:val="32"/>
          <w:szCs w:val="32"/>
          <w:lang w:bidi="ar"/>
        </w:rPr>
        <w:t>有关工作部署，中国中医药科技发展中心将继续举办第五届全国说医解药科普大赛（简称大赛），持续打造“说医解药”中医药科普品牌，推动中医药知识的普及，传播好中医药声音。</w:t>
      </w:r>
    </w:p>
    <w:p w14:paraId="20B2B9DC">
      <w:pPr>
        <w:spacing w:line="600" w:lineRule="exact"/>
        <w:ind w:firstLine="640" w:firstLineChars="200"/>
        <w:rPr>
          <w:rFonts w:hint="eastAsia" w:ascii="黑体" w:hAnsi="黑体" w:eastAsia="黑体" w:cs="黑体"/>
          <w:sz w:val="32"/>
        </w:rPr>
      </w:pPr>
      <w:r>
        <w:rPr>
          <w:rFonts w:hint="eastAsia" w:ascii="黑体" w:hAnsi="黑体" w:eastAsia="黑体" w:cs="黑体"/>
          <w:sz w:val="32"/>
        </w:rPr>
        <w:t>二、指导思想</w:t>
      </w:r>
    </w:p>
    <w:p w14:paraId="0390E965">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大赛坚持以习近平新时代中国特色社会主义思想为指导，贯彻落实习近平总书记关于科学普及与中医药工作的重要论述，运用群众喜闻乐见的短视频形式，普及中医药健康养生知识，让中医药融入百姓生产生活，充分发挥中医药在维护和促进人民健康中的独特作用。</w:t>
      </w:r>
    </w:p>
    <w:p w14:paraId="69566B35">
      <w:pPr>
        <w:spacing w:line="600" w:lineRule="exact"/>
        <w:ind w:firstLine="640" w:firstLineChars="200"/>
        <w:rPr>
          <w:rFonts w:hint="eastAsia" w:ascii="黑体" w:hAnsi="黑体" w:eastAsia="黑体" w:cs="黑体"/>
          <w:sz w:val="32"/>
        </w:rPr>
      </w:pPr>
      <w:r>
        <w:rPr>
          <w:rFonts w:hint="eastAsia" w:ascii="黑体" w:hAnsi="黑体" w:eastAsia="黑体" w:cs="黑体"/>
          <w:sz w:val="32"/>
        </w:rPr>
        <w:t>三、大赛主题</w:t>
      </w:r>
    </w:p>
    <w:p w14:paraId="335BADD7">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大赛以“解读中医药经典</w:t>
      </w:r>
      <w:r>
        <w:rPr>
          <w:rFonts w:ascii="Times New Roman" w:hAnsi="Times New Roman" w:eastAsia="仿宋_GB2312"/>
          <w:sz w:val="32"/>
          <w:szCs w:val="32"/>
        </w:rPr>
        <w:t xml:space="preserve"> </w:t>
      </w:r>
      <w:r>
        <w:rPr>
          <w:rFonts w:hint="eastAsia" w:ascii="Times New Roman" w:hAnsi="Times New Roman" w:eastAsia="仿宋_GB2312"/>
          <w:sz w:val="32"/>
          <w:szCs w:val="32"/>
        </w:rPr>
        <w:t>弘扬中医药文化”为主题，征集遴选不限创作形式的创意短视频，旨在打造兼具专业性、科普性、权威性和传播力的全国性、品牌化中医药科普大赛。</w:t>
      </w:r>
    </w:p>
    <w:p w14:paraId="5F28E5EC">
      <w:pPr>
        <w:spacing w:line="600" w:lineRule="exact"/>
        <w:ind w:firstLine="640" w:firstLineChars="200"/>
        <w:rPr>
          <w:rFonts w:hint="eastAsia" w:ascii="黑体" w:hAnsi="黑体" w:eastAsia="黑体" w:cs="黑体"/>
          <w:sz w:val="32"/>
        </w:rPr>
      </w:pPr>
      <w:r>
        <w:rPr>
          <w:rFonts w:hint="eastAsia" w:ascii="黑体" w:hAnsi="黑体" w:eastAsia="黑体" w:cs="黑体"/>
          <w:sz w:val="32"/>
        </w:rPr>
        <w:t>四、组织机构</w:t>
      </w:r>
    </w:p>
    <w:p w14:paraId="3F098040">
      <w:pPr>
        <w:pStyle w:val="3"/>
        <w:spacing w:line="600" w:lineRule="exact"/>
        <w:ind w:firstLine="643"/>
        <w:rPr>
          <w:rFonts w:hint="eastAsia" w:ascii="楷体_GB2312" w:eastAsia="楷体_GB2312"/>
          <w:b/>
          <w:bCs/>
          <w:sz w:val="32"/>
          <w:szCs w:val="22"/>
        </w:rPr>
      </w:pPr>
      <w:r>
        <w:rPr>
          <w:rFonts w:hint="eastAsia" w:ascii="楷体_GB2312" w:eastAsia="楷体_GB2312"/>
          <w:b/>
          <w:bCs/>
          <w:sz w:val="32"/>
          <w:szCs w:val="22"/>
        </w:rPr>
        <w:t>（一）主办单位</w:t>
      </w:r>
    </w:p>
    <w:p w14:paraId="6A89F834">
      <w:pPr>
        <w:pStyle w:val="3"/>
        <w:spacing w:line="600" w:lineRule="exact"/>
        <w:ind w:firstLine="640"/>
        <w:rPr>
          <w:rFonts w:hint="eastAsia"/>
          <w:sz w:val="32"/>
        </w:rPr>
      </w:pPr>
      <w:r>
        <w:rPr>
          <w:rFonts w:hint="eastAsia"/>
          <w:sz w:val="32"/>
          <w:szCs w:val="22"/>
        </w:rPr>
        <w:t>中国中医药科技发展中心（国家中医药管理局人才交流中心）</w:t>
      </w:r>
    </w:p>
    <w:p w14:paraId="4A03E4BE">
      <w:pPr>
        <w:pStyle w:val="3"/>
        <w:spacing w:line="600" w:lineRule="exact"/>
        <w:ind w:firstLine="643"/>
        <w:rPr>
          <w:rFonts w:hint="eastAsia" w:ascii="楷体_GB2312" w:eastAsia="楷体_GB2312"/>
          <w:b/>
          <w:bCs/>
          <w:sz w:val="32"/>
        </w:rPr>
      </w:pPr>
      <w:r>
        <w:rPr>
          <w:rFonts w:hint="eastAsia" w:ascii="楷体_GB2312" w:eastAsia="楷体_GB2312"/>
          <w:b/>
          <w:bCs/>
          <w:sz w:val="32"/>
        </w:rPr>
        <w:t>（二）协办单位</w:t>
      </w:r>
    </w:p>
    <w:p w14:paraId="126B1E8C">
      <w:pPr>
        <w:pStyle w:val="3"/>
        <w:spacing w:line="600" w:lineRule="exact"/>
        <w:ind w:firstLine="640"/>
        <w:rPr>
          <w:rFonts w:hint="eastAsia"/>
          <w:sz w:val="32"/>
        </w:rPr>
      </w:pPr>
      <w:r>
        <w:rPr>
          <w:rFonts w:hint="eastAsia"/>
          <w:sz w:val="32"/>
        </w:rPr>
        <w:t>中国民族医药学会</w:t>
      </w:r>
    </w:p>
    <w:p w14:paraId="327FAC50">
      <w:pPr>
        <w:pStyle w:val="3"/>
        <w:spacing w:line="600" w:lineRule="exact"/>
        <w:ind w:firstLine="643"/>
        <w:rPr>
          <w:rFonts w:hint="eastAsia" w:ascii="楷体_GB2312" w:eastAsia="楷体_GB2312"/>
          <w:b/>
          <w:bCs/>
          <w:sz w:val="32"/>
        </w:rPr>
      </w:pPr>
      <w:r>
        <w:rPr>
          <w:rFonts w:hint="eastAsia" w:ascii="楷体_GB2312" w:eastAsia="楷体_GB2312"/>
          <w:b/>
          <w:bCs/>
          <w:sz w:val="32"/>
        </w:rPr>
        <w:t>（三）支持平台</w:t>
      </w:r>
    </w:p>
    <w:p w14:paraId="67024F87">
      <w:pPr>
        <w:pStyle w:val="3"/>
        <w:spacing w:line="600" w:lineRule="exact"/>
        <w:ind w:firstLine="640"/>
        <w:rPr>
          <w:rFonts w:hint="eastAsia"/>
        </w:rPr>
      </w:pPr>
      <w:r>
        <w:rPr>
          <w:rFonts w:hint="eastAsia"/>
          <w:sz w:val="32"/>
        </w:rPr>
        <w:t>人民网</w:t>
      </w:r>
      <w:r>
        <w:rPr>
          <w:sz w:val="32"/>
        </w:rPr>
        <w:t>•</w:t>
      </w:r>
      <w:r>
        <w:rPr>
          <w:rFonts w:hint="eastAsia"/>
          <w:sz w:val="32"/>
        </w:rPr>
        <w:t>人民健康</w:t>
      </w:r>
    </w:p>
    <w:p w14:paraId="5EB1DF68">
      <w:pPr>
        <w:spacing w:line="600" w:lineRule="exact"/>
        <w:ind w:firstLine="640" w:firstLineChars="200"/>
        <w:rPr>
          <w:rFonts w:hint="eastAsia" w:ascii="黑体" w:hAnsi="黑体" w:eastAsia="黑体" w:cs="黑体"/>
          <w:sz w:val="32"/>
        </w:rPr>
      </w:pPr>
      <w:r>
        <w:rPr>
          <w:rFonts w:hint="eastAsia" w:ascii="黑体" w:hAnsi="黑体" w:eastAsia="黑体" w:cs="黑体"/>
          <w:sz w:val="32"/>
        </w:rPr>
        <w:t>五、征集主题</w:t>
      </w:r>
    </w:p>
    <w:p w14:paraId="68D4922A">
      <w:pPr>
        <w:overflowPunct w:val="0"/>
        <w:spacing w:line="600" w:lineRule="exact"/>
        <w:ind w:firstLine="640"/>
        <w:rPr>
          <w:rFonts w:ascii="Times New Roman" w:hAnsi="Times New Roman" w:eastAsia="仿宋_GB2312"/>
          <w:sz w:val="32"/>
          <w:szCs w:val="32"/>
        </w:rPr>
      </w:pPr>
      <w:r>
        <w:rPr>
          <w:rFonts w:hint="eastAsia" w:ascii="楷体_GB2312" w:hAnsi="Times New Roman" w:eastAsia="楷体_GB2312"/>
          <w:b/>
          <w:bCs/>
          <w:sz w:val="32"/>
          <w:szCs w:val="32"/>
        </w:rPr>
        <w:t>（一）中医药基础知识。</w:t>
      </w:r>
      <w:r>
        <w:rPr>
          <w:rFonts w:hint="eastAsia" w:ascii="Times New Roman" w:hAnsi="Times New Roman" w:eastAsia="仿宋_GB2312"/>
          <w:sz w:val="32"/>
          <w:szCs w:val="32"/>
        </w:rPr>
        <w:t>介绍中医药历史和文化理念，名医名家生平事迹、学术思想与临证经验，中医药经典著作，中医对生命、健康、衰老、疾病的认识，中草药的种植、炮制、性味、归经、功效与用法，方剂的配伍、功效与用法等。</w:t>
      </w:r>
    </w:p>
    <w:p w14:paraId="3DF838FD">
      <w:pPr>
        <w:overflowPunct w:val="0"/>
        <w:spacing w:line="600" w:lineRule="exact"/>
        <w:ind w:firstLine="640"/>
        <w:rPr>
          <w:rFonts w:ascii="Times New Roman" w:hAnsi="Times New Roman" w:eastAsia="仿宋_GB2312"/>
          <w:sz w:val="32"/>
          <w:szCs w:val="32"/>
        </w:rPr>
      </w:pPr>
      <w:r>
        <w:rPr>
          <w:rFonts w:hint="eastAsia" w:ascii="楷体_GB2312" w:hAnsi="Times New Roman" w:eastAsia="楷体_GB2312"/>
          <w:b/>
          <w:bCs/>
          <w:sz w:val="32"/>
          <w:szCs w:val="32"/>
        </w:rPr>
        <w:t>（二）常见疾病与重点人群的中医药养生保健理念和方法。</w:t>
      </w:r>
      <w:r>
        <w:rPr>
          <w:rFonts w:hint="eastAsia" w:ascii="Times New Roman" w:hAnsi="Times New Roman" w:eastAsia="仿宋_GB2312"/>
          <w:sz w:val="32"/>
          <w:szCs w:val="32"/>
        </w:rPr>
        <w:t>介绍中医药在癌症、心脑血管疾病、呼吸系统疾病等慢性病的康复与保健知识等；介绍老年人、妇女、儿童青少年等重点人群的日常中医药养生保健知识和方法，如食疗药膳、运动养生、心理调节等。</w:t>
      </w:r>
    </w:p>
    <w:p w14:paraId="76AF12AE">
      <w:pPr>
        <w:overflowPunct w:val="0"/>
        <w:spacing w:line="600" w:lineRule="exact"/>
        <w:ind w:firstLine="640"/>
        <w:rPr>
          <w:rFonts w:ascii="Times New Roman" w:hAnsi="Times New Roman" w:eastAsia="仿宋_GB2312"/>
          <w:sz w:val="32"/>
          <w:szCs w:val="32"/>
        </w:rPr>
      </w:pPr>
      <w:r>
        <w:rPr>
          <w:rFonts w:hint="eastAsia" w:ascii="楷体_GB2312" w:hAnsi="楷体_GB2312" w:eastAsia="楷体_GB2312" w:cs="楷体_GB2312"/>
          <w:b/>
          <w:bCs/>
          <w:sz w:val="32"/>
          <w:szCs w:val="32"/>
        </w:rPr>
        <w:t>（三）中医药创新科技进展的科普解读。</w:t>
      </w:r>
      <w:r>
        <w:rPr>
          <w:rFonts w:ascii="Times New Roman" w:hAnsi="Times New Roman" w:eastAsia="仿宋_GB2312"/>
          <w:sz w:val="32"/>
          <w:szCs w:val="32"/>
        </w:rPr>
        <w:t>围绕中医药</w:t>
      </w:r>
      <w:r>
        <w:rPr>
          <w:rFonts w:hint="eastAsia" w:ascii="Times New Roman" w:hAnsi="Times New Roman" w:eastAsia="仿宋_GB2312"/>
          <w:sz w:val="32"/>
          <w:szCs w:val="32"/>
        </w:rPr>
        <w:t>科技</w:t>
      </w:r>
      <w:r>
        <w:rPr>
          <w:rFonts w:ascii="Times New Roman" w:hAnsi="Times New Roman" w:eastAsia="仿宋_GB2312"/>
          <w:sz w:val="32"/>
          <w:szCs w:val="32"/>
        </w:rPr>
        <w:t>领域的新理论、新技术、新方法、新</w:t>
      </w:r>
      <w:r>
        <w:rPr>
          <w:rFonts w:hint="eastAsia" w:ascii="Times New Roman" w:hAnsi="Times New Roman" w:eastAsia="仿宋_GB2312"/>
          <w:sz w:val="32"/>
          <w:szCs w:val="32"/>
        </w:rPr>
        <w:t>发现</w:t>
      </w:r>
      <w:r>
        <w:rPr>
          <w:rFonts w:ascii="Times New Roman" w:hAnsi="Times New Roman" w:eastAsia="仿宋_GB2312"/>
          <w:sz w:val="32"/>
          <w:szCs w:val="32"/>
        </w:rPr>
        <w:t>，运用通俗易懂的方式开展科普解读</w:t>
      </w:r>
      <w:r>
        <w:rPr>
          <w:rFonts w:hint="eastAsia" w:ascii="Times New Roman" w:hAnsi="Times New Roman" w:eastAsia="仿宋_GB2312"/>
          <w:sz w:val="32"/>
          <w:szCs w:val="32"/>
        </w:rPr>
        <w:t>，特别是</w:t>
      </w:r>
      <w:r>
        <w:rPr>
          <w:rFonts w:ascii="Times New Roman" w:hAnsi="Times New Roman" w:eastAsia="仿宋_GB2312"/>
          <w:sz w:val="32"/>
          <w:szCs w:val="32"/>
        </w:rPr>
        <w:t>介绍中医药与现代科学技术融合发展的新实践，如人工智能、大数据、智能装备、现代制药技术等在中医药领域的应用</w:t>
      </w:r>
      <w:r>
        <w:rPr>
          <w:rFonts w:hint="eastAsia" w:ascii="Times New Roman" w:hAnsi="Times New Roman" w:eastAsia="仿宋_GB2312"/>
          <w:sz w:val="32"/>
          <w:szCs w:val="32"/>
        </w:rPr>
        <w:t>。</w:t>
      </w:r>
    </w:p>
    <w:p w14:paraId="356C9612">
      <w:pPr>
        <w:spacing w:line="600" w:lineRule="exact"/>
        <w:ind w:firstLine="640"/>
        <w:jc w:val="left"/>
        <w:rPr>
          <w:rFonts w:hint="eastAsia" w:ascii="黑体" w:hAnsi="黑体" w:eastAsia="黑体" w:cs="黑体"/>
          <w:sz w:val="32"/>
        </w:rPr>
      </w:pPr>
      <w:r>
        <w:rPr>
          <w:rFonts w:hint="eastAsia" w:ascii="黑体" w:hAnsi="黑体" w:eastAsia="黑体" w:cs="黑体"/>
          <w:sz w:val="32"/>
        </w:rPr>
        <w:t>六、赛制、赛程</w:t>
      </w:r>
    </w:p>
    <w:p w14:paraId="21C609EE">
      <w:pPr>
        <w:overflowPunct w:val="0"/>
        <w:spacing w:line="600" w:lineRule="exact"/>
        <w:ind w:firstLine="643" w:firstLineChars="200"/>
        <w:rPr>
          <w:rFonts w:ascii="楷体_GB2312" w:hAnsi="Times New Roman" w:eastAsia="楷体_GB2312"/>
          <w:b/>
          <w:bCs/>
          <w:sz w:val="32"/>
          <w:szCs w:val="32"/>
        </w:rPr>
      </w:pPr>
      <w:r>
        <w:rPr>
          <w:rFonts w:hint="eastAsia" w:ascii="楷体_GB2312" w:hAnsi="Times New Roman" w:eastAsia="楷体_GB2312"/>
          <w:b/>
          <w:bCs/>
          <w:sz w:val="32"/>
          <w:szCs w:val="32"/>
        </w:rPr>
        <w:t>（一）赛制安排</w:t>
      </w:r>
    </w:p>
    <w:p w14:paraId="4577BDB0">
      <w:pPr>
        <w:spacing w:line="60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rPr>
        <w:t>大赛采用“分赛区</w:t>
      </w:r>
      <w:r>
        <w:rPr>
          <w:rFonts w:ascii="仿宋_GB2312" w:hAnsi="仿宋_GB2312" w:eastAsia="仿宋_GB2312" w:cs="仿宋_GB2312"/>
          <w:sz w:val="32"/>
        </w:rPr>
        <w:t>+全国赛”竞赛机制。经公开遴选，大赛将在全国设置若干个分赛区。在设立有分赛区的省份，参赛选手必须在本省报名参加分赛区选拔；另外设立“</w:t>
      </w:r>
      <w:r>
        <w:rPr>
          <w:rFonts w:hint="eastAsia" w:ascii="仿宋_GB2312" w:hAnsi="仿宋_GB2312" w:eastAsia="仿宋_GB2312" w:cs="仿宋_GB2312"/>
          <w:sz w:val="32"/>
        </w:rPr>
        <w:t>联合</w:t>
      </w:r>
      <w:r>
        <w:rPr>
          <w:rFonts w:ascii="仿宋_GB2312" w:hAnsi="仿宋_GB2312" w:eastAsia="仿宋_GB2312" w:cs="仿宋_GB2312"/>
          <w:sz w:val="32"/>
        </w:rPr>
        <w:t>分赛区”，未设立分赛区的省份及其他国家与地区，参赛选手必须通过该赛区报名参赛。</w:t>
      </w:r>
    </w:p>
    <w:p w14:paraId="1DB4D4B1">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各分赛区按照统一的参赛规则和评分标准组织评审，向大赛主办方报送本赛区入围作品。大赛主办方对各赛区报送的入围作品进行审核后，在中央媒体进行网络展播投票。结合网络投票结果，通过专家现场评审，最终评选出获奖作品。其中网络展播投票占总成绩20%，专家评分占总成绩80%。</w:t>
      </w:r>
    </w:p>
    <w:p w14:paraId="3D505647">
      <w:pPr>
        <w:overflowPunct w:val="0"/>
        <w:spacing w:line="600" w:lineRule="exact"/>
        <w:ind w:firstLine="643" w:firstLineChars="200"/>
        <w:rPr>
          <w:rFonts w:ascii="楷体_GB2312" w:hAnsi="Times New Roman" w:eastAsia="楷体_GB2312"/>
          <w:b/>
          <w:bCs/>
          <w:sz w:val="32"/>
          <w:szCs w:val="32"/>
        </w:rPr>
      </w:pPr>
      <w:r>
        <w:rPr>
          <w:rFonts w:hint="eastAsia" w:ascii="楷体_GB2312" w:hAnsi="Times New Roman" w:eastAsia="楷体_GB2312"/>
          <w:b/>
          <w:bCs/>
          <w:sz w:val="32"/>
          <w:szCs w:val="32"/>
        </w:rPr>
        <w:t>（二）赛程安排</w:t>
      </w:r>
    </w:p>
    <w:p w14:paraId="4E0AC2AD">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大赛计划于</w:t>
      </w:r>
      <w:r>
        <w:rPr>
          <w:rFonts w:ascii="Times New Roman" w:hAnsi="Times New Roman" w:eastAsia="仿宋_GB2312"/>
          <w:b/>
          <w:bCs/>
          <w:sz w:val="32"/>
          <w:szCs w:val="32"/>
        </w:rPr>
        <w:t>202</w:t>
      </w:r>
      <w:r>
        <w:rPr>
          <w:rFonts w:hint="eastAsia" w:ascii="Times New Roman" w:hAnsi="Times New Roman" w:eastAsia="仿宋_GB2312"/>
          <w:b/>
          <w:bCs/>
          <w:sz w:val="32"/>
          <w:szCs w:val="32"/>
        </w:rPr>
        <w:t>6年6月</w:t>
      </w:r>
      <w:r>
        <w:rPr>
          <w:rFonts w:ascii="Times New Roman" w:hAnsi="Times New Roman" w:eastAsia="仿宋_GB2312"/>
          <w:b/>
          <w:bCs/>
          <w:sz w:val="32"/>
          <w:szCs w:val="32"/>
        </w:rPr>
        <w:t>—202</w:t>
      </w:r>
      <w:r>
        <w:rPr>
          <w:rFonts w:hint="eastAsia" w:ascii="Times New Roman" w:hAnsi="Times New Roman" w:eastAsia="仿宋_GB2312"/>
          <w:b/>
          <w:bCs/>
          <w:sz w:val="32"/>
          <w:szCs w:val="32"/>
        </w:rPr>
        <w:t>6年</w:t>
      </w:r>
      <w:r>
        <w:rPr>
          <w:rFonts w:ascii="Times New Roman" w:hAnsi="Times New Roman" w:eastAsia="仿宋_GB2312"/>
          <w:b/>
          <w:bCs/>
          <w:sz w:val="32"/>
          <w:szCs w:val="32"/>
        </w:rPr>
        <w:t>12</w:t>
      </w:r>
      <w:r>
        <w:rPr>
          <w:rFonts w:hint="eastAsia" w:ascii="Times New Roman" w:hAnsi="Times New Roman" w:eastAsia="仿宋_GB2312"/>
          <w:b/>
          <w:bCs/>
          <w:sz w:val="32"/>
          <w:szCs w:val="32"/>
        </w:rPr>
        <w:t>月</w:t>
      </w:r>
      <w:r>
        <w:rPr>
          <w:rFonts w:hint="eastAsia" w:ascii="Times New Roman" w:hAnsi="Times New Roman" w:eastAsia="仿宋_GB2312"/>
          <w:sz w:val="32"/>
          <w:szCs w:val="32"/>
        </w:rPr>
        <w:t>举办：</w:t>
      </w:r>
    </w:p>
    <w:p w14:paraId="0DDB3B5F">
      <w:pPr>
        <w:overflowPunct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第一阶段：遴选分赛区及赛前工作培训（202</w:t>
      </w:r>
      <w:r>
        <w:rPr>
          <w:rFonts w:hint="eastAsia" w:ascii="Times New Roman" w:hAnsi="Times New Roman" w:eastAsia="仿宋_GB2312"/>
          <w:b/>
          <w:bCs/>
          <w:sz w:val="32"/>
          <w:szCs w:val="32"/>
          <w:lang w:val="en-US" w:eastAsia="zh-CN"/>
        </w:rPr>
        <w:t>6</w:t>
      </w:r>
      <w:r>
        <w:rPr>
          <w:rFonts w:hint="eastAsia" w:ascii="Times New Roman" w:hAnsi="Times New Roman" w:eastAsia="仿宋_GB2312"/>
          <w:b/>
          <w:bCs/>
          <w:sz w:val="32"/>
          <w:szCs w:val="32"/>
        </w:rPr>
        <w:t>年</w:t>
      </w:r>
      <w:r>
        <w:rPr>
          <w:rFonts w:ascii="Times New Roman" w:hAnsi="Times New Roman" w:eastAsia="仿宋_GB2312"/>
          <w:b/>
          <w:bCs/>
          <w:sz w:val="32"/>
          <w:szCs w:val="32"/>
        </w:rPr>
        <w:t>5</w:t>
      </w:r>
      <w:r>
        <w:rPr>
          <w:rFonts w:hint="eastAsia" w:ascii="Times New Roman" w:hAnsi="Times New Roman" w:eastAsia="仿宋_GB2312"/>
          <w:b/>
          <w:bCs/>
          <w:sz w:val="32"/>
          <w:szCs w:val="32"/>
        </w:rPr>
        <w:t>月</w:t>
      </w:r>
      <w:r>
        <w:rPr>
          <w:rFonts w:ascii="Times New Roman" w:hAnsi="Times New Roman" w:eastAsia="仿宋_GB2312"/>
          <w:b/>
          <w:bCs/>
          <w:sz w:val="32"/>
          <w:szCs w:val="32"/>
        </w:rPr>
        <w:t>—</w:t>
      </w:r>
      <w:r>
        <w:rPr>
          <w:rFonts w:hint="eastAsia" w:ascii="Times New Roman" w:hAnsi="Times New Roman" w:eastAsia="仿宋_GB2312"/>
          <w:b/>
          <w:bCs/>
          <w:sz w:val="32"/>
          <w:szCs w:val="32"/>
        </w:rPr>
        <w:t>6月）。</w:t>
      </w:r>
      <w:r>
        <w:rPr>
          <w:rFonts w:hint="eastAsia" w:ascii="Times New Roman" w:hAnsi="Times New Roman" w:eastAsia="仿宋_GB2312"/>
          <w:sz w:val="32"/>
          <w:szCs w:val="32"/>
        </w:rPr>
        <w:t>主办方面向全国公开遴选分赛区承办单位，根据各单位申报情况，确定分赛区设置。</w:t>
      </w:r>
    </w:p>
    <w:p w14:paraId="2E815ACB">
      <w:pPr>
        <w:overflowPunct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第二阶段：分赛区作品征集及选拔阶段（202</w:t>
      </w:r>
      <w:r>
        <w:rPr>
          <w:rFonts w:hint="eastAsia" w:ascii="Times New Roman" w:hAnsi="Times New Roman" w:eastAsia="仿宋_GB2312"/>
          <w:b/>
          <w:bCs/>
          <w:sz w:val="32"/>
          <w:szCs w:val="32"/>
          <w:lang w:val="en-US" w:eastAsia="zh-CN"/>
        </w:rPr>
        <w:t>6</w:t>
      </w:r>
      <w:r>
        <w:rPr>
          <w:rFonts w:hint="eastAsia" w:ascii="Times New Roman" w:hAnsi="Times New Roman" w:eastAsia="仿宋_GB2312"/>
          <w:b/>
          <w:bCs/>
          <w:sz w:val="32"/>
          <w:szCs w:val="32"/>
        </w:rPr>
        <w:t>年7月—</w:t>
      </w:r>
      <w:r>
        <w:rPr>
          <w:rFonts w:ascii="Times New Roman" w:hAnsi="Times New Roman" w:eastAsia="仿宋_GB2312"/>
          <w:b/>
          <w:bCs/>
          <w:sz w:val="32"/>
          <w:szCs w:val="32"/>
        </w:rPr>
        <w:t>1</w:t>
      </w:r>
      <w:r>
        <w:rPr>
          <w:rFonts w:hint="eastAsia" w:ascii="Times New Roman" w:hAnsi="Times New Roman" w:eastAsia="仿宋_GB2312"/>
          <w:b/>
          <w:bCs/>
          <w:sz w:val="32"/>
          <w:szCs w:val="32"/>
        </w:rPr>
        <w:t>0月）。各赛区</w:t>
      </w:r>
      <w:r>
        <w:rPr>
          <w:rFonts w:hint="eastAsia" w:ascii="Times New Roman" w:hAnsi="Times New Roman" w:eastAsia="仿宋_GB2312"/>
          <w:sz w:val="32"/>
          <w:szCs w:val="32"/>
        </w:rPr>
        <w:t>做好本赛区作品征集、专家评审等工作，并按要求报送入围全国总决赛作品。</w:t>
      </w:r>
    </w:p>
    <w:p w14:paraId="3384E8D3">
      <w:pPr>
        <w:overflowPunct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第三阶段：全国总决赛及结果公示（202</w:t>
      </w:r>
      <w:r>
        <w:rPr>
          <w:rFonts w:hint="eastAsia" w:ascii="Times New Roman" w:hAnsi="Times New Roman" w:eastAsia="仿宋_GB2312"/>
          <w:b/>
          <w:bCs/>
          <w:sz w:val="32"/>
          <w:szCs w:val="32"/>
          <w:lang w:val="en-US" w:eastAsia="zh-CN"/>
        </w:rPr>
        <w:t>6</w:t>
      </w:r>
      <w:bookmarkStart w:id="1" w:name="_GoBack"/>
      <w:bookmarkEnd w:id="1"/>
      <w:r>
        <w:rPr>
          <w:rFonts w:hint="eastAsia" w:ascii="Times New Roman" w:hAnsi="Times New Roman" w:eastAsia="仿宋_GB2312"/>
          <w:b/>
          <w:bCs/>
          <w:sz w:val="32"/>
          <w:szCs w:val="32"/>
        </w:rPr>
        <w:t>年</w:t>
      </w:r>
      <w:r>
        <w:rPr>
          <w:rFonts w:ascii="Times New Roman" w:hAnsi="Times New Roman" w:eastAsia="仿宋_GB2312"/>
          <w:b/>
          <w:bCs/>
          <w:sz w:val="32"/>
          <w:szCs w:val="32"/>
        </w:rPr>
        <w:t>11</w:t>
      </w:r>
      <w:r>
        <w:rPr>
          <w:rFonts w:hint="eastAsia" w:ascii="Times New Roman" w:hAnsi="Times New Roman" w:eastAsia="仿宋_GB2312"/>
          <w:b/>
          <w:bCs/>
          <w:sz w:val="32"/>
          <w:szCs w:val="32"/>
        </w:rPr>
        <w:t>月—</w:t>
      </w:r>
      <w:r>
        <w:rPr>
          <w:rFonts w:ascii="Times New Roman" w:hAnsi="Times New Roman" w:eastAsia="仿宋_GB2312"/>
          <w:b/>
          <w:bCs/>
          <w:sz w:val="32"/>
          <w:szCs w:val="32"/>
        </w:rPr>
        <w:t>12</w:t>
      </w:r>
      <w:r>
        <w:rPr>
          <w:rFonts w:hint="eastAsia" w:ascii="Times New Roman" w:hAnsi="Times New Roman" w:eastAsia="仿宋_GB2312"/>
          <w:b/>
          <w:bCs/>
          <w:sz w:val="32"/>
          <w:szCs w:val="32"/>
        </w:rPr>
        <w:t>月）。</w:t>
      </w:r>
      <w:r>
        <w:rPr>
          <w:rFonts w:hint="eastAsia" w:ascii="Times New Roman" w:hAnsi="Times New Roman" w:eastAsia="仿宋_GB2312"/>
          <w:sz w:val="32"/>
          <w:szCs w:val="32"/>
        </w:rPr>
        <w:t>入围全国总决赛的作品，经线上展播，专家评审后，确定最终获奖作品名单并予以公布。</w:t>
      </w:r>
    </w:p>
    <w:p w14:paraId="0CE4C0A5">
      <w:pPr>
        <w:spacing w:line="600" w:lineRule="exact"/>
        <w:ind w:firstLine="640"/>
        <w:rPr>
          <w:rFonts w:hint="eastAsia" w:ascii="黑体" w:hAnsi="黑体" w:eastAsia="黑体" w:cs="黑体"/>
          <w:sz w:val="32"/>
        </w:rPr>
      </w:pPr>
      <w:r>
        <w:rPr>
          <w:rFonts w:hint="eastAsia" w:ascii="黑体" w:hAnsi="黑体" w:eastAsia="黑体" w:cs="黑体"/>
          <w:sz w:val="32"/>
        </w:rPr>
        <w:t>七、赛事权益</w:t>
      </w:r>
    </w:p>
    <w:p w14:paraId="3EBF3330">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（一）宣传展示。获奖视频可在大赛媒体渠道进行展览展示、宣传报道。</w:t>
      </w:r>
    </w:p>
    <w:p w14:paraId="481B8996">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（二）科普IP运营与视频推广资源支持。获奖团队将有机会获得大赛主办方提供的IP合作运营资源支持，为其提供相关对接渠道。优秀科普视频有机会签约纳入中医药科普视频库进行统一运营管理。</w:t>
      </w:r>
    </w:p>
    <w:p w14:paraId="637A0E77">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（三）中医药科普创作供需对接。获奖团队将有机会获得大赛主办方提供的科普视频拍摄供需对接渠道。同时主办方可支持相关团队合作开展科普创作培训。</w:t>
      </w:r>
    </w:p>
    <w:p w14:paraId="5C89D64D">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（四）科普人才项目支持。大赛主办方推荐符合条件的全国总决赛获奖创作人申报国家中医药科普人才库项目。</w:t>
      </w:r>
    </w:p>
    <w:p w14:paraId="2EEF3778">
      <w:pPr>
        <w:spacing w:line="600" w:lineRule="exact"/>
        <w:ind w:firstLine="640" w:firstLineChars="200"/>
        <w:rPr>
          <w:rFonts w:hint="eastAsia" w:ascii="黑体" w:hAnsi="黑体" w:eastAsia="黑体" w:cs="黑体"/>
          <w:sz w:val="32"/>
        </w:rPr>
      </w:pPr>
      <w:r>
        <w:rPr>
          <w:rFonts w:hint="eastAsia" w:ascii="黑体" w:hAnsi="黑体" w:eastAsia="黑体" w:cs="黑体"/>
          <w:sz w:val="32"/>
        </w:rPr>
        <w:t>八、奖项设置</w:t>
      </w:r>
    </w:p>
    <w:p w14:paraId="5BE9B9EC">
      <w:pPr>
        <w:overflowPunct w:val="0"/>
        <w:spacing w:line="600" w:lineRule="exact"/>
        <w:ind w:firstLine="608" w:firstLineChars="200"/>
        <w:rPr>
          <w:rFonts w:hint="eastAsia"/>
          <w:sz w:val="32"/>
          <w:szCs w:val="32"/>
        </w:rPr>
      </w:pPr>
      <w:r>
        <w:rPr>
          <w:rFonts w:hint="eastAsia" w:ascii="Times New Roman" w:hAnsi="Times New Roman" w:eastAsia="仿宋_GB2312"/>
          <w:w w:val="95"/>
          <w:sz w:val="32"/>
          <w:szCs w:val="32"/>
        </w:rPr>
        <w:t>大赛总决赛设立一等奖、二等奖、三等奖、最佳人气奖、最佳创意奖。奖项总数按照第五届大赛作品征集总数的1.5%比例进行设定，各奖项比例参考往届赛事。此外设立优秀组织奖若干名。</w:t>
      </w:r>
      <w:bookmarkEnd w:id="0"/>
    </w:p>
    <w:sectPr>
      <w:footerReference r:id="rId3" w:type="default"/>
      <w:pgSz w:w="11906" w:h="16838"/>
      <w:pgMar w:top="2098" w:right="1531" w:bottom="1984" w:left="1531"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angSong_GB2312">
    <w:panose1 w:val="02010609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KaiTi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644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48DD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348DD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AFC8B0D"/>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MzVhYTI1YTc2YjExNWQ1ZDYyZjcxNmZiNWU1YWUifQ=="/>
    <w:docVar w:name="KSO_WPS_MARK_KEY" w:val="c3ddb2ab-0462-4906-b893-fcfba5cb966f"/>
  </w:docVars>
  <w:rsids>
    <w:rsidRoot w:val="2748070B"/>
    <w:rsid w:val="001628D5"/>
    <w:rsid w:val="00256DD7"/>
    <w:rsid w:val="005E3989"/>
    <w:rsid w:val="00774254"/>
    <w:rsid w:val="00792721"/>
    <w:rsid w:val="007C56AF"/>
    <w:rsid w:val="009E5AD2"/>
    <w:rsid w:val="00A56250"/>
    <w:rsid w:val="00A80E85"/>
    <w:rsid w:val="00B67874"/>
    <w:rsid w:val="00F86A84"/>
    <w:rsid w:val="04A51EA7"/>
    <w:rsid w:val="0A12619D"/>
    <w:rsid w:val="0E530E74"/>
    <w:rsid w:val="18B2125F"/>
    <w:rsid w:val="1BFF1CAE"/>
    <w:rsid w:val="22C75D4E"/>
    <w:rsid w:val="2748070B"/>
    <w:rsid w:val="37F336B7"/>
    <w:rsid w:val="39FF005A"/>
    <w:rsid w:val="3A2B49AD"/>
    <w:rsid w:val="3EF79C0D"/>
    <w:rsid w:val="40762A77"/>
    <w:rsid w:val="487157BF"/>
    <w:rsid w:val="56B83E62"/>
    <w:rsid w:val="588138A4"/>
    <w:rsid w:val="75FDD037"/>
    <w:rsid w:val="7FF9DEE2"/>
    <w:rsid w:val="7FFE0A0B"/>
    <w:rsid w:val="8FB68308"/>
    <w:rsid w:val="9C5CC581"/>
    <w:rsid w:val="9FFFFF9D"/>
    <w:rsid w:val="AEBE541A"/>
    <w:rsid w:val="BA56F5C6"/>
    <w:rsid w:val="BE7FE5DF"/>
    <w:rsid w:val="BFE59BC1"/>
    <w:rsid w:val="E7EAD6BA"/>
    <w:rsid w:val="F7BDD14C"/>
    <w:rsid w:val="FEFF8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adjustRightInd w:val="0"/>
      <w:snapToGrid w:val="0"/>
      <w:spacing w:line="360" w:lineRule="auto"/>
      <w:ind w:firstLine="600" w:firstLineChars="200"/>
    </w:pPr>
    <w:rPr>
      <w:rFonts w:ascii="仿宋_GB2312" w:hAnsi="仿宋_GB2312" w:eastAsia="仿宋_GB2312" w:cs="仿宋_GB2312"/>
      <w:sz w:val="30"/>
      <w:szCs w:val="3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unhideWhenUsed/>
    <w:qFormat/>
    <w:uiPriority w:val="99"/>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806</Words>
  <Characters>832</Characters>
  <Lines>59</Lines>
  <Paragraphs>54</Paragraphs>
  <TotalTime>2</TotalTime>
  <ScaleCrop>false</ScaleCrop>
  <LinksUpToDate>false</LinksUpToDate>
  <CharactersWithSpaces>1584</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2026-05-13T22:52:00Z</dcterms:created>
  <dc:creator>123</dc:creator>
  <cp:lastModifiedBy>嘉麟</cp:lastModifiedBy>
  <dcterms:modified xsi:type="dcterms:W3CDTF">2026-05-15T11:50:23Z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F4D99C9607414176EFD6026A8AD87763_43</vt:lpwstr>
  </property>
</Properties>
</file>