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5B5F95">
      <w:pPr>
        <w:rPr>
          <w:rFonts w:hint="eastAsia" w:ascii="Times New Roman" w:hAnsi="Times New Roman" w:eastAsia="黑体" w:cs="黑体"/>
          <w:sz w:val="32"/>
          <w:szCs w:val="32"/>
          <w:lang w:val="en-US" w:eastAsia="zh-CN"/>
        </w:rPr>
      </w:pPr>
      <w:bookmarkStart w:id="0" w:name="_GoBack"/>
      <w:bookmarkEnd w:id="0"/>
      <w:r>
        <w:rPr>
          <w:rFonts w:hint="eastAsia" w:ascii="Times New Roman" w:hAnsi="Times New Roman" w:eastAsia="黑体" w:cs="黑体"/>
          <w:sz w:val="32"/>
          <w:szCs w:val="32"/>
        </w:rPr>
        <w:t>附件</w:t>
      </w:r>
      <w:r>
        <w:rPr>
          <w:rFonts w:hint="eastAsia" w:ascii="Times New Roman" w:hAnsi="Times New Roman" w:eastAsia="黑体" w:cs="黑体"/>
          <w:sz w:val="32"/>
          <w:szCs w:val="32"/>
          <w:lang w:val="en-US" w:eastAsia="zh-CN"/>
        </w:rPr>
        <w:t>2</w:t>
      </w:r>
    </w:p>
    <w:p w14:paraId="58677730">
      <w:pPr>
        <w:rPr>
          <w:rFonts w:hint="eastAsia" w:ascii="Times New Roman" w:hAnsi="Times New Roman" w:eastAsia="微软雅黑"/>
          <w:sz w:val="28"/>
          <w:szCs w:val="28"/>
          <w:lang w:val="en-US" w:eastAsia="zh-CN"/>
        </w:rPr>
      </w:pPr>
    </w:p>
    <w:p w14:paraId="1567B1C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2026年“冬病夏治穴位贴敷”</w:t>
      </w:r>
    </w:p>
    <w:p w14:paraId="479ED82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信息报送系统使用说明</w:t>
      </w:r>
    </w:p>
    <w:p w14:paraId="06AD9AB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（医疗机构版）</w:t>
      </w:r>
    </w:p>
    <w:p w14:paraId="318611CF">
      <w:pPr>
        <w:rPr>
          <w:rFonts w:ascii="Times New Roman" w:hAnsi="Times New Roman"/>
          <w:sz w:val="32"/>
          <w:szCs w:val="32"/>
        </w:rPr>
      </w:pPr>
    </w:p>
    <w:p w14:paraId="0C060F8F">
      <w:pPr>
        <w:ind w:firstLine="560" w:firstLineChars="200"/>
        <w:rPr>
          <w:rFonts w:ascii="微软雅黑" w:hAnsi="微软雅黑" w:eastAsia="微软雅黑"/>
          <w:b/>
          <w:sz w:val="28"/>
          <w:szCs w:val="28"/>
        </w:rPr>
      </w:pPr>
      <w:r>
        <w:rPr>
          <w:rFonts w:hint="eastAsia" w:ascii="微软雅黑" w:hAnsi="微软雅黑" w:eastAsia="微软雅黑"/>
          <w:b/>
          <w:sz w:val="28"/>
          <w:szCs w:val="28"/>
        </w:rPr>
        <w:t>信息报送：</w:t>
      </w:r>
    </w:p>
    <w:p w14:paraId="4259F55D">
      <w:pPr>
        <w:ind w:firstLine="560" w:firstLineChars="200"/>
        <w:rPr>
          <w:rFonts w:ascii="微软雅黑" w:hAnsi="微软雅黑" w:eastAsia="微软雅黑"/>
          <w:sz w:val="28"/>
          <w:szCs w:val="28"/>
        </w:rPr>
      </w:pPr>
      <w:r>
        <w:rPr>
          <w:rFonts w:hint="eastAsia" w:ascii="微软雅黑" w:hAnsi="微软雅黑" w:eastAsia="微软雅黑"/>
          <w:sz w:val="28"/>
          <w:szCs w:val="28"/>
        </w:rPr>
        <w:t>报送方式1：浏览器访问</w:t>
      </w:r>
      <w:r>
        <w:fldChar w:fldCharType="begin"/>
      </w:r>
      <w:r>
        <w:instrText xml:space="preserve"> HYPERLINK "https://sft.itcm.com" </w:instrText>
      </w:r>
      <w:r>
        <w:fldChar w:fldCharType="separate"/>
      </w:r>
      <w:r>
        <w:rPr>
          <w:rStyle w:val="7"/>
          <w:rFonts w:hint="eastAsia" w:ascii="微软雅黑" w:hAnsi="微软雅黑" w:eastAsia="微软雅黑" w:cs="宋体"/>
          <w:sz w:val="24"/>
          <w:szCs w:val="24"/>
        </w:rPr>
        <w:t>http</w:t>
      </w:r>
      <w:r>
        <w:rPr>
          <w:rStyle w:val="7"/>
          <w:rFonts w:ascii="微软雅黑" w:hAnsi="微软雅黑" w:eastAsia="微软雅黑" w:cs="宋体"/>
          <w:sz w:val="24"/>
          <w:szCs w:val="24"/>
        </w:rPr>
        <w:t>s</w:t>
      </w:r>
      <w:r>
        <w:rPr>
          <w:rStyle w:val="7"/>
          <w:rFonts w:hint="eastAsia" w:ascii="微软雅黑" w:hAnsi="微软雅黑" w:eastAsia="微软雅黑" w:cs="宋体"/>
          <w:sz w:val="24"/>
          <w:szCs w:val="24"/>
        </w:rPr>
        <w:t>://sft.</w:t>
      </w:r>
      <w:r>
        <w:rPr>
          <w:rStyle w:val="7"/>
          <w:rFonts w:ascii="微软雅黑" w:hAnsi="微软雅黑" w:eastAsia="微软雅黑" w:cs="宋体"/>
          <w:sz w:val="24"/>
          <w:szCs w:val="24"/>
        </w:rPr>
        <w:t>itcm.com</w:t>
      </w:r>
      <w:r>
        <w:rPr>
          <w:rStyle w:val="7"/>
          <w:rFonts w:ascii="微软雅黑" w:hAnsi="微软雅黑" w:eastAsia="微软雅黑" w:cs="宋体"/>
          <w:sz w:val="24"/>
          <w:szCs w:val="24"/>
        </w:rPr>
        <w:fldChar w:fldCharType="end"/>
      </w:r>
      <w:r>
        <w:rPr>
          <w:rFonts w:hint="eastAsia" w:ascii="微软雅黑" w:hAnsi="微软雅黑" w:eastAsia="微软雅黑"/>
          <w:sz w:val="28"/>
          <w:szCs w:val="28"/>
        </w:rPr>
        <w:t>登录“三伏贴医疗机构信息管理平台”</w:t>
      </w:r>
    </w:p>
    <w:p w14:paraId="0DF3C6E6">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报送方式2：扫码或搜索关注《北京针灸学会》公众号通过菜单&lt;通知专栏&gt;</w:t>
      </w:r>
      <w:r>
        <w:rPr>
          <w:rFonts w:ascii="微软雅黑" w:hAnsi="微软雅黑" w:eastAsia="微软雅黑"/>
          <w:sz w:val="28"/>
          <w:szCs w:val="28"/>
        </w:rPr>
        <w:t>-&lt;</w:t>
      </w:r>
      <w:r>
        <w:rPr>
          <w:rFonts w:hint="eastAsia" w:ascii="微软雅黑" w:hAnsi="微软雅黑" w:eastAsia="微软雅黑"/>
          <w:sz w:val="28"/>
          <w:szCs w:val="28"/>
        </w:rPr>
        <w:t>三伏贴专栏&gt;进入报送平台。</w:t>
      </w:r>
    </w:p>
    <w:p w14:paraId="54557B79">
      <w:pPr>
        <w:ind w:firstLine="420" w:firstLineChars="200"/>
        <w:rPr>
          <w:rFonts w:ascii="微软雅黑" w:hAnsi="微软雅黑" w:eastAsia="微软雅黑"/>
          <w:sz w:val="28"/>
          <w:szCs w:val="28"/>
        </w:rPr>
      </w:pPr>
      <w:r>
        <w:drawing>
          <wp:anchor distT="0" distB="0" distL="114300" distR="114300" simplePos="0" relativeHeight="251659264" behindDoc="0" locked="0" layoutInCell="1" allowOverlap="1">
            <wp:simplePos x="0" y="0"/>
            <wp:positionH relativeFrom="column">
              <wp:posOffset>1582420</wp:posOffset>
            </wp:positionH>
            <wp:positionV relativeFrom="paragraph">
              <wp:posOffset>27940</wp:posOffset>
            </wp:positionV>
            <wp:extent cx="2220595" cy="2220595"/>
            <wp:effectExtent l="0" t="0" r="8255"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srcRect/>
                    <a:stretch>
                      <a:fillRect/>
                    </a:stretch>
                  </pic:blipFill>
                  <pic:spPr>
                    <a:xfrm flipH="1">
                      <a:off x="0" y="0"/>
                      <a:ext cx="2220595" cy="2220595"/>
                    </a:xfrm>
                    <a:prstGeom prst="rect">
                      <a:avLst/>
                    </a:prstGeom>
                    <a:noFill/>
                    <a:ln>
                      <a:noFill/>
                    </a:ln>
                  </pic:spPr>
                </pic:pic>
              </a:graphicData>
            </a:graphic>
          </wp:anchor>
        </w:drawing>
      </w:r>
    </w:p>
    <w:p w14:paraId="6AD4ADDB">
      <w:pPr>
        <w:ind w:firstLine="560" w:firstLineChars="200"/>
        <w:rPr>
          <w:rFonts w:ascii="微软雅黑" w:hAnsi="微软雅黑" w:eastAsia="微软雅黑"/>
          <w:sz w:val="28"/>
          <w:szCs w:val="28"/>
        </w:rPr>
      </w:pPr>
    </w:p>
    <w:p w14:paraId="1C6B6A36">
      <w:pPr>
        <w:ind w:firstLine="560" w:firstLineChars="200"/>
        <w:rPr>
          <w:rFonts w:ascii="微软雅黑" w:hAnsi="微软雅黑" w:eastAsia="微软雅黑"/>
          <w:sz w:val="28"/>
          <w:szCs w:val="28"/>
        </w:rPr>
      </w:pPr>
    </w:p>
    <w:p w14:paraId="3D345729">
      <w:pPr>
        <w:ind w:firstLine="560" w:firstLineChars="200"/>
        <w:rPr>
          <w:rFonts w:ascii="微软雅黑" w:hAnsi="微软雅黑" w:eastAsia="微软雅黑"/>
          <w:b/>
          <w:bCs/>
          <w:sz w:val="28"/>
          <w:szCs w:val="28"/>
        </w:rPr>
      </w:pPr>
    </w:p>
    <w:p w14:paraId="18E22F03">
      <w:pPr>
        <w:ind w:firstLine="560" w:firstLineChars="200"/>
        <w:rPr>
          <w:rFonts w:ascii="微软雅黑" w:hAnsi="微软雅黑" w:eastAsia="微软雅黑"/>
          <w:b/>
          <w:bCs/>
          <w:sz w:val="28"/>
          <w:szCs w:val="28"/>
        </w:rPr>
      </w:pPr>
    </w:p>
    <w:p w14:paraId="25583F1C">
      <w:pPr>
        <w:ind w:firstLine="560" w:firstLineChars="200"/>
        <w:rPr>
          <w:rFonts w:ascii="微软雅黑" w:hAnsi="微软雅黑" w:eastAsia="微软雅黑"/>
          <w:b/>
          <w:bCs/>
          <w:sz w:val="28"/>
          <w:szCs w:val="28"/>
        </w:rPr>
      </w:pPr>
    </w:p>
    <w:p w14:paraId="35827591">
      <w:pPr>
        <w:ind w:firstLine="560" w:firstLineChars="200"/>
        <w:rPr>
          <w:rFonts w:ascii="微软雅黑" w:hAnsi="微软雅黑" w:eastAsia="微软雅黑"/>
          <w:b/>
          <w:bCs/>
          <w:sz w:val="28"/>
          <w:szCs w:val="28"/>
        </w:rPr>
      </w:pPr>
    </w:p>
    <w:p w14:paraId="0E7A7F65">
      <w:pPr>
        <w:ind w:firstLine="560" w:firstLineChars="200"/>
        <w:rPr>
          <w:rFonts w:ascii="微软雅黑" w:hAnsi="微软雅黑" w:eastAsia="微软雅黑"/>
          <w:b/>
          <w:bCs/>
          <w:sz w:val="28"/>
          <w:szCs w:val="28"/>
        </w:rPr>
      </w:pPr>
    </w:p>
    <w:p w14:paraId="0A4B203D">
      <w:pPr>
        <w:ind w:firstLine="560" w:firstLineChars="200"/>
        <w:rPr>
          <w:rFonts w:ascii="微软雅黑" w:hAnsi="微软雅黑" w:eastAsia="微软雅黑"/>
          <w:b/>
          <w:bCs/>
          <w:sz w:val="28"/>
          <w:szCs w:val="28"/>
        </w:rPr>
      </w:pPr>
      <w:r>
        <w:rPr>
          <w:rFonts w:hint="eastAsia" w:ascii="微软雅黑" w:hAnsi="微软雅黑" w:eastAsia="微软雅黑"/>
          <w:b/>
          <w:bCs/>
          <w:sz w:val="28"/>
          <w:szCs w:val="28"/>
        </w:rPr>
        <w:t>系统主要功能：</w:t>
      </w:r>
    </w:p>
    <w:p w14:paraId="73B3A0EC">
      <w:pPr>
        <w:ind w:firstLine="560" w:firstLineChars="200"/>
        <w:rPr>
          <w:rFonts w:ascii="微软雅黑" w:hAnsi="微软雅黑" w:eastAsia="微软雅黑"/>
          <w:sz w:val="28"/>
          <w:szCs w:val="28"/>
        </w:rPr>
      </w:pPr>
      <w:r>
        <w:rPr>
          <w:rFonts w:hint="eastAsia" w:ascii="微软雅黑" w:hAnsi="微软雅黑" w:eastAsia="微软雅黑"/>
          <w:sz w:val="28"/>
          <w:szCs w:val="28"/>
        </w:rPr>
        <w:t>1</w:t>
      </w:r>
      <w:r>
        <w:rPr>
          <w:rFonts w:ascii="微软雅黑" w:hAnsi="微软雅黑" w:eastAsia="微软雅黑"/>
          <w:sz w:val="28"/>
          <w:szCs w:val="28"/>
        </w:rPr>
        <w:t xml:space="preserve">. </w:t>
      </w:r>
      <w:r>
        <w:rPr>
          <w:rFonts w:hint="eastAsia" w:ascii="微软雅黑" w:hAnsi="微软雅黑" w:eastAsia="微软雅黑"/>
          <w:sz w:val="28"/>
          <w:szCs w:val="28"/>
        </w:rPr>
        <w:t>拟开展“</w:t>
      </w:r>
      <w:r>
        <w:rPr>
          <w:rFonts w:hint="eastAsia" w:ascii="微软雅黑" w:hAnsi="微软雅黑" w:eastAsia="微软雅黑"/>
          <w:sz w:val="28"/>
          <w:szCs w:val="28"/>
          <w:lang w:eastAsia="zh-CN"/>
        </w:rPr>
        <w:t>冬病夏治穴位贴敷</w:t>
      </w:r>
      <w:r>
        <w:rPr>
          <w:rFonts w:hint="eastAsia" w:ascii="微软雅黑" w:hAnsi="微软雅黑" w:eastAsia="微软雅黑"/>
          <w:sz w:val="28"/>
          <w:szCs w:val="28"/>
        </w:rPr>
        <w:t>”服务的医疗机构通过本系统进行机构信息登记备案及审核状态查询</w:t>
      </w:r>
    </w:p>
    <w:p w14:paraId="51FDC73F">
      <w:pPr>
        <w:ind w:firstLine="560" w:firstLineChars="200"/>
        <w:rPr>
          <w:rFonts w:ascii="微软雅黑" w:hAnsi="微软雅黑" w:eastAsia="微软雅黑"/>
          <w:color w:val="0070C0"/>
          <w:sz w:val="28"/>
          <w:szCs w:val="28"/>
        </w:rPr>
      </w:pPr>
      <w:r>
        <w:rPr>
          <w:rFonts w:hint="eastAsia" w:ascii="微软雅黑" w:hAnsi="微软雅黑" w:eastAsia="微软雅黑"/>
          <w:sz w:val="28"/>
          <w:szCs w:val="28"/>
        </w:rPr>
        <w:t>2</w:t>
      </w:r>
      <w:r>
        <w:rPr>
          <w:rFonts w:ascii="微软雅黑" w:hAnsi="微软雅黑" w:eastAsia="微软雅黑"/>
          <w:sz w:val="28"/>
          <w:szCs w:val="28"/>
        </w:rPr>
        <w:t xml:space="preserve">. </w:t>
      </w:r>
      <w:r>
        <w:rPr>
          <w:rFonts w:hint="eastAsia" w:ascii="微软雅黑" w:hAnsi="微软雅黑" w:eastAsia="微软雅黑"/>
          <w:sz w:val="28"/>
          <w:szCs w:val="28"/>
        </w:rPr>
        <w:t>医疗机构通过审核后，可获取、下载、打印本机构二维码，用于本机构贴敷患者扫码进行信息登记及服务评价等调查问卷</w:t>
      </w:r>
    </w:p>
    <w:p w14:paraId="137D7855">
      <w:pPr>
        <w:ind w:firstLine="560" w:firstLineChars="200"/>
        <w:rPr>
          <w:rFonts w:ascii="微软雅黑" w:hAnsi="微软雅黑" w:eastAsia="微软雅黑"/>
          <w:sz w:val="28"/>
          <w:szCs w:val="28"/>
        </w:rPr>
      </w:pPr>
      <w:r>
        <w:rPr>
          <w:rFonts w:hint="eastAsia" w:ascii="微软雅黑" w:hAnsi="微软雅黑" w:eastAsia="微软雅黑"/>
          <w:sz w:val="28"/>
          <w:szCs w:val="28"/>
        </w:rPr>
        <w:t>3</w:t>
      </w:r>
      <w:r>
        <w:rPr>
          <w:rFonts w:ascii="微软雅黑" w:hAnsi="微软雅黑" w:eastAsia="微软雅黑"/>
          <w:sz w:val="28"/>
          <w:szCs w:val="28"/>
        </w:rPr>
        <w:t xml:space="preserve">. </w:t>
      </w:r>
      <w:r>
        <w:rPr>
          <w:rFonts w:hint="eastAsia" w:ascii="微软雅黑" w:hAnsi="微软雅黑" w:eastAsia="微软雅黑"/>
          <w:sz w:val="28"/>
          <w:szCs w:val="28"/>
        </w:rPr>
        <w:t>本年度机构贴敷工作相关数据及信息的填报</w:t>
      </w:r>
    </w:p>
    <w:p w14:paraId="4EDD73EF">
      <w:pPr>
        <w:ind w:firstLine="422" w:firstLineChars="200"/>
        <w:rPr>
          <w:rFonts w:ascii="宋体" w:hAnsi="宋体" w:eastAsia="宋体"/>
          <w:b/>
          <w:bCs/>
        </w:rPr>
      </w:pPr>
    </w:p>
    <w:p w14:paraId="697267C9">
      <w:pPr>
        <w:ind w:firstLine="560" w:firstLineChars="200"/>
        <w:rPr>
          <w:rFonts w:ascii="微软雅黑" w:hAnsi="微软雅黑" w:eastAsia="微软雅黑"/>
          <w:b/>
          <w:bCs/>
          <w:sz w:val="28"/>
          <w:szCs w:val="28"/>
        </w:rPr>
      </w:pPr>
      <w:r>
        <w:rPr>
          <w:rFonts w:hint="eastAsia" w:ascii="微软雅黑" w:hAnsi="微软雅黑" w:eastAsia="微软雅黑"/>
          <w:b/>
          <w:bCs/>
          <w:sz w:val="28"/>
          <w:szCs w:val="28"/>
        </w:rPr>
        <w:t>一、医疗机构信息填报</w:t>
      </w:r>
    </w:p>
    <w:p w14:paraId="3423442A">
      <w:pPr>
        <w:ind w:firstLine="560" w:firstLineChars="200"/>
        <w:rPr>
          <w:rFonts w:ascii="宋体" w:hAnsi="宋体" w:eastAsia="宋体"/>
        </w:rPr>
      </w:pPr>
      <w:r>
        <w:rPr>
          <w:rFonts w:hint="eastAsia" w:ascii="微软雅黑" w:hAnsi="微软雅黑" w:eastAsia="微软雅黑"/>
          <w:sz w:val="28"/>
          <w:szCs w:val="28"/>
        </w:rPr>
        <w:t>通过手机微信扫描北京针灸学会公众号二维码或三伏贴平台网址进行注册申报。（见顶部信息）</w:t>
      </w:r>
    </w:p>
    <w:p w14:paraId="5D5F7298">
      <w:pPr>
        <w:ind w:firstLine="560" w:firstLineChars="200"/>
        <w:rPr>
          <w:rFonts w:ascii="微软雅黑" w:hAnsi="微软雅黑" w:eastAsia="微软雅黑"/>
          <w:sz w:val="28"/>
          <w:szCs w:val="28"/>
        </w:rPr>
      </w:pPr>
      <w:r>
        <w:rPr>
          <w:rFonts w:hint="eastAsia" w:ascii="微软雅黑" w:hAnsi="微软雅黑" w:eastAsia="微软雅黑"/>
          <w:sz w:val="28"/>
          <w:szCs w:val="28"/>
        </w:rPr>
        <w:t>初次使用本平台需要机构用户进行注册登记，按照页面提示进行注册即可（每个机构只可注册一个账号，用于备案填写及工作数据汇报）。</w:t>
      </w:r>
    </w:p>
    <w:p w14:paraId="2C3009C3">
      <w:pPr>
        <w:ind w:firstLine="420" w:firstLineChars="200"/>
        <w:rPr>
          <w:rFonts w:ascii="微软雅黑" w:hAnsi="微软雅黑" w:eastAsia="微软雅黑"/>
          <w:sz w:val="28"/>
          <w:szCs w:val="28"/>
        </w:rPr>
      </w:pPr>
      <w:r>
        <w:drawing>
          <wp:inline distT="0" distB="0" distL="0" distR="0">
            <wp:extent cx="5278120" cy="5074285"/>
            <wp:effectExtent l="0" t="0" r="1778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email"/>
                    <a:stretch>
                      <a:fillRect/>
                    </a:stretch>
                  </pic:blipFill>
                  <pic:spPr>
                    <a:xfrm>
                      <a:off x="0" y="0"/>
                      <a:ext cx="5278120" cy="5074285"/>
                    </a:xfrm>
                    <a:prstGeom prst="rect">
                      <a:avLst/>
                    </a:prstGeom>
                  </pic:spPr>
                </pic:pic>
              </a:graphicData>
            </a:graphic>
          </wp:inline>
        </w:drawing>
      </w:r>
    </w:p>
    <w:p w14:paraId="3DFCACE5">
      <w:pPr>
        <w:ind w:firstLine="420" w:firstLineChars="200"/>
        <w:rPr>
          <w:rFonts w:ascii="微软雅黑" w:hAnsi="微软雅黑" w:eastAsia="微软雅黑"/>
          <w:sz w:val="28"/>
          <w:szCs w:val="28"/>
        </w:rPr>
      </w:pPr>
      <w:r>
        <w:drawing>
          <wp:inline distT="0" distB="0" distL="0" distR="0">
            <wp:extent cx="5278120" cy="6353175"/>
            <wp:effectExtent l="0" t="0" r="1778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email"/>
                    <a:srcRect b="3415"/>
                    <a:stretch>
                      <a:fillRect/>
                    </a:stretch>
                  </pic:blipFill>
                  <pic:spPr>
                    <a:xfrm>
                      <a:off x="0" y="0"/>
                      <a:ext cx="5278120" cy="6353299"/>
                    </a:xfrm>
                    <a:prstGeom prst="rect">
                      <a:avLst/>
                    </a:prstGeom>
                    <a:ln>
                      <a:noFill/>
                    </a:ln>
                  </pic:spPr>
                </pic:pic>
              </a:graphicData>
            </a:graphic>
          </wp:inline>
        </w:drawing>
      </w:r>
    </w:p>
    <w:p w14:paraId="12D93FF1">
      <w:pPr>
        <w:ind w:firstLine="560" w:firstLineChars="200"/>
        <w:rPr>
          <w:rFonts w:ascii="微软雅黑" w:hAnsi="微软雅黑" w:eastAsia="微软雅黑"/>
          <w:sz w:val="28"/>
          <w:szCs w:val="28"/>
        </w:rPr>
      </w:pPr>
    </w:p>
    <w:p w14:paraId="44DAA832">
      <w:pPr>
        <w:ind w:firstLine="560" w:firstLineChars="200"/>
        <w:rPr>
          <w:rFonts w:ascii="微软雅黑" w:hAnsi="微软雅黑" w:eastAsia="微软雅黑"/>
          <w:sz w:val="28"/>
          <w:szCs w:val="28"/>
        </w:rPr>
      </w:pPr>
      <w:r>
        <w:rPr>
          <w:rFonts w:hint="eastAsia" w:ascii="微软雅黑" w:hAnsi="微软雅黑" w:eastAsia="微软雅黑"/>
          <w:sz w:val="28"/>
          <w:szCs w:val="28"/>
        </w:rPr>
        <w:t>可输入机构关键字模糊搜索机构全称。</w:t>
      </w:r>
    </w:p>
    <w:p w14:paraId="5326DC6D">
      <w:pPr>
        <w:ind w:firstLine="560" w:firstLineChars="200"/>
        <w:rPr>
          <w:rFonts w:ascii="微软雅黑" w:hAnsi="微软雅黑" w:eastAsia="微软雅黑"/>
          <w:sz w:val="28"/>
          <w:szCs w:val="28"/>
        </w:rPr>
      </w:pPr>
      <w:r>
        <w:rPr>
          <w:rFonts w:hint="eastAsia" w:ascii="微软雅黑" w:hAnsi="微软雅黑" w:eastAsia="微软雅黑"/>
          <w:sz w:val="28"/>
          <w:szCs w:val="28"/>
        </w:rPr>
        <w:t>不在名单内的机构，请确认本机构是否有取得三伏贴申报资格。</w:t>
      </w:r>
    </w:p>
    <w:p w14:paraId="787342C7">
      <w:pPr>
        <w:ind w:firstLine="560" w:firstLineChars="200"/>
        <w:rPr>
          <w:rFonts w:ascii="微软雅黑" w:hAnsi="微软雅黑" w:eastAsia="微软雅黑"/>
          <w:sz w:val="28"/>
          <w:szCs w:val="28"/>
        </w:rPr>
      </w:pPr>
      <w:r>
        <w:rPr>
          <w:rFonts w:hint="eastAsia" w:ascii="微软雅黑" w:hAnsi="微软雅黑" w:eastAsia="微软雅黑"/>
          <w:sz w:val="28"/>
          <w:szCs w:val="28"/>
        </w:rPr>
        <w:t>对于有资格且不在名单内的机构，可申请新机构注册。</w:t>
      </w:r>
    </w:p>
    <w:p w14:paraId="319D7A66">
      <w:pPr>
        <w:ind w:firstLine="420" w:firstLineChars="200"/>
        <w:rPr>
          <w:rFonts w:ascii="微软雅黑" w:hAnsi="微软雅黑" w:eastAsia="微软雅黑"/>
          <w:sz w:val="28"/>
          <w:szCs w:val="28"/>
        </w:rPr>
      </w:pPr>
      <w:r>
        <w:drawing>
          <wp:inline distT="0" distB="0" distL="0" distR="0">
            <wp:extent cx="5278120" cy="3885565"/>
            <wp:effectExtent l="0" t="0" r="177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email"/>
                    <a:stretch>
                      <a:fillRect/>
                    </a:stretch>
                  </pic:blipFill>
                  <pic:spPr>
                    <a:xfrm>
                      <a:off x="0" y="0"/>
                      <a:ext cx="5278120" cy="3885565"/>
                    </a:xfrm>
                    <a:prstGeom prst="rect">
                      <a:avLst/>
                    </a:prstGeom>
                  </pic:spPr>
                </pic:pic>
              </a:graphicData>
            </a:graphic>
          </wp:inline>
        </w:drawing>
      </w:r>
    </w:p>
    <w:p w14:paraId="24D646D1">
      <w:pPr>
        <w:ind w:firstLine="420" w:firstLineChars="200"/>
        <w:rPr>
          <w:rFonts w:ascii="微软雅黑" w:hAnsi="微软雅黑" w:eastAsia="微软雅黑"/>
          <w:sz w:val="28"/>
          <w:szCs w:val="28"/>
        </w:rPr>
      </w:pPr>
      <w:r>
        <w:drawing>
          <wp:inline distT="0" distB="0" distL="0" distR="0">
            <wp:extent cx="5278120" cy="1977390"/>
            <wp:effectExtent l="0" t="0" r="1778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email"/>
                    <a:stretch>
                      <a:fillRect/>
                    </a:stretch>
                  </pic:blipFill>
                  <pic:spPr>
                    <a:xfrm>
                      <a:off x="0" y="0"/>
                      <a:ext cx="5278120" cy="1977390"/>
                    </a:xfrm>
                    <a:prstGeom prst="rect">
                      <a:avLst/>
                    </a:prstGeom>
                  </pic:spPr>
                </pic:pic>
              </a:graphicData>
            </a:graphic>
          </wp:inline>
        </w:drawing>
      </w:r>
    </w:p>
    <w:p w14:paraId="36429F6F">
      <w:pPr>
        <w:ind w:firstLine="424" w:firstLineChars="202"/>
        <w:jc w:val="center"/>
      </w:pPr>
    </w:p>
    <w:p w14:paraId="5F3B0166">
      <w:pPr>
        <w:ind w:firstLine="560" w:firstLineChars="200"/>
        <w:rPr>
          <w:rFonts w:ascii="微软雅黑" w:hAnsi="微软雅黑" w:eastAsia="微软雅黑"/>
          <w:sz w:val="28"/>
          <w:szCs w:val="28"/>
        </w:rPr>
      </w:pPr>
      <w:r>
        <w:rPr>
          <w:rFonts w:hint="eastAsia" w:ascii="微软雅黑" w:hAnsi="微软雅黑" w:eastAsia="微软雅黑"/>
          <w:sz w:val="28"/>
          <w:szCs w:val="28"/>
        </w:rPr>
        <w:t>4. 注册成功后自动进入[三伏贴管理平台]，请按填报提示逐项填写备案信息，确认信息无误后提交。</w:t>
      </w:r>
    </w:p>
    <w:p w14:paraId="7C160EFF">
      <w:pPr>
        <w:ind w:firstLine="424" w:firstLineChars="202"/>
        <w:jc w:val="center"/>
      </w:pPr>
      <w:r>
        <w:drawing>
          <wp:inline distT="0" distB="0" distL="0" distR="0">
            <wp:extent cx="5278120" cy="2163445"/>
            <wp:effectExtent l="0" t="0" r="1778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8120" cy="2163445"/>
                    </a:xfrm>
                    <a:prstGeom prst="rect">
                      <a:avLst/>
                    </a:prstGeom>
                  </pic:spPr>
                </pic:pic>
              </a:graphicData>
            </a:graphic>
          </wp:inline>
        </w:drawing>
      </w:r>
    </w:p>
    <w:p w14:paraId="1CA953D9">
      <w:pPr>
        <w:ind w:firstLine="424" w:firstLineChars="202"/>
        <w:jc w:val="center"/>
      </w:pPr>
      <w:r>
        <w:drawing>
          <wp:inline distT="0" distB="0" distL="0" distR="0">
            <wp:extent cx="5278120" cy="6838315"/>
            <wp:effectExtent l="0" t="0" r="1778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78120" cy="6838315"/>
                    </a:xfrm>
                    <a:prstGeom prst="rect">
                      <a:avLst/>
                    </a:prstGeom>
                  </pic:spPr>
                </pic:pic>
              </a:graphicData>
            </a:graphic>
          </wp:inline>
        </w:drawing>
      </w:r>
    </w:p>
    <w:p w14:paraId="467AD79E">
      <w:pPr>
        <w:ind w:firstLine="484" w:firstLineChars="202"/>
        <w:jc w:val="center"/>
        <w:rPr>
          <w:rFonts w:ascii="微软雅黑" w:hAnsi="微软雅黑" w:eastAsia="微软雅黑"/>
          <w:color w:val="0070C0"/>
          <w:sz w:val="24"/>
          <w:szCs w:val="24"/>
        </w:rPr>
      </w:pPr>
    </w:p>
    <w:p w14:paraId="5C6A6549">
      <w:pPr>
        <w:ind w:firstLine="424" w:firstLineChars="202"/>
        <w:jc w:val="center"/>
        <w:rPr>
          <w:rFonts w:ascii="微软雅黑" w:hAnsi="微软雅黑" w:eastAsia="微软雅黑"/>
          <w:color w:val="0070C0"/>
          <w:sz w:val="24"/>
          <w:szCs w:val="24"/>
        </w:rPr>
      </w:pPr>
      <w:r>
        <w:drawing>
          <wp:inline distT="0" distB="0" distL="0" distR="0">
            <wp:extent cx="4191000" cy="8863330"/>
            <wp:effectExtent l="0" t="0" r="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cstate="email"/>
                    <a:stretch>
                      <a:fillRect/>
                    </a:stretch>
                  </pic:blipFill>
                  <pic:spPr>
                    <a:xfrm>
                      <a:off x="0" y="0"/>
                      <a:ext cx="4191000" cy="8863330"/>
                    </a:xfrm>
                    <a:prstGeom prst="rect">
                      <a:avLst/>
                    </a:prstGeom>
                  </pic:spPr>
                </pic:pic>
              </a:graphicData>
            </a:graphic>
          </wp:inline>
        </w:drawing>
      </w:r>
    </w:p>
    <w:p w14:paraId="4D8AC2DD">
      <w:pPr>
        <w:ind w:firstLine="424" w:firstLineChars="202"/>
        <w:jc w:val="center"/>
        <w:rPr>
          <w:rFonts w:ascii="微软雅黑" w:hAnsi="微软雅黑" w:eastAsia="微软雅黑"/>
          <w:color w:val="0070C0"/>
          <w:sz w:val="24"/>
          <w:szCs w:val="24"/>
        </w:rPr>
      </w:pPr>
      <w:r>
        <w:drawing>
          <wp:inline distT="0" distB="0" distL="0" distR="0">
            <wp:extent cx="4308475" cy="8863330"/>
            <wp:effectExtent l="0" t="0" r="1587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cstate="email"/>
                    <a:stretch>
                      <a:fillRect/>
                    </a:stretch>
                  </pic:blipFill>
                  <pic:spPr>
                    <a:xfrm>
                      <a:off x="0" y="0"/>
                      <a:ext cx="4308475" cy="8863330"/>
                    </a:xfrm>
                    <a:prstGeom prst="rect">
                      <a:avLst/>
                    </a:prstGeom>
                  </pic:spPr>
                </pic:pic>
              </a:graphicData>
            </a:graphic>
          </wp:inline>
        </w:drawing>
      </w:r>
    </w:p>
    <w:p w14:paraId="053A6C7C">
      <w:pPr>
        <w:ind w:firstLine="484" w:firstLineChars="202"/>
        <w:rPr>
          <w:rFonts w:ascii="微软雅黑" w:hAnsi="微软雅黑" w:eastAsia="微软雅黑"/>
          <w:color w:val="0070C0"/>
          <w:sz w:val="24"/>
          <w:szCs w:val="24"/>
        </w:rPr>
      </w:pPr>
    </w:p>
    <w:p w14:paraId="406CF26C">
      <w:pPr>
        <w:ind w:firstLine="484" w:firstLineChars="202"/>
        <w:rPr>
          <w:rFonts w:ascii="微软雅黑" w:hAnsi="微软雅黑" w:eastAsia="微软雅黑"/>
          <w:color w:val="0070C0"/>
          <w:sz w:val="24"/>
          <w:szCs w:val="24"/>
        </w:rPr>
      </w:pPr>
      <w:r>
        <w:rPr>
          <w:rFonts w:hint="eastAsia" w:ascii="微软雅黑" w:hAnsi="微软雅黑" w:eastAsia="微软雅黑"/>
          <w:color w:val="0070C0"/>
          <w:sz w:val="24"/>
          <w:szCs w:val="24"/>
        </w:rPr>
        <w:t>填报说明：</w:t>
      </w:r>
    </w:p>
    <w:p w14:paraId="53C7AE26">
      <w:pPr>
        <w:ind w:firstLine="484" w:firstLineChars="202"/>
        <w:rPr>
          <w:rFonts w:ascii="微软雅黑" w:hAnsi="微软雅黑" w:eastAsia="微软雅黑"/>
          <w:color w:val="0070C0"/>
          <w:sz w:val="24"/>
          <w:szCs w:val="24"/>
        </w:rPr>
      </w:pPr>
      <w:r>
        <w:rPr>
          <w:rFonts w:hint="eastAsia" w:ascii="微软雅黑" w:hAnsi="微软雅黑" w:eastAsia="微软雅黑"/>
          <w:color w:val="0070C0"/>
          <w:sz w:val="24"/>
          <w:szCs w:val="24"/>
        </w:rPr>
        <w:t>（1）填报的医疗机构单位名称需与医疗机构执业许可证保持一致。社区卫生服务站由所属的社区卫生服务中心统一报送信息进行登记备案（独立站可单独备案）。</w:t>
      </w:r>
    </w:p>
    <w:p w14:paraId="2CD32CD5">
      <w:pPr>
        <w:ind w:firstLine="484" w:firstLineChars="202"/>
        <w:rPr>
          <w:rFonts w:ascii="微软雅黑" w:hAnsi="微软雅黑" w:eastAsia="微软雅黑"/>
          <w:color w:val="0070C0"/>
          <w:sz w:val="24"/>
          <w:szCs w:val="24"/>
        </w:rPr>
      </w:pPr>
      <w:r>
        <w:rPr>
          <w:rFonts w:hint="eastAsia" w:ascii="微软雅黑" w:hAnsi="微软雅黑" w:eastAsia="微软雅黑"/>
          <w:color w:val="0070C0"/>
          <w:sz w:val="24"/>
          <w:szCs w:val="24"/>
        </w:rPr>
        <w:t>（2）请各医疗机构认真填写本机构信息，检查核对无误后方可提交。点击提交时如果必填项未填写完，页面会自动跳转到第一个未填写的必填项处。提交后的数据即被锁定，不能自行修改。如需修改，需经主管部门驳回申请后方可修改、再次提交。</w:t>
      </w:r>
    </w:p>
    <w:p w14:paraId="0240A725">
      <w:pPr>
        <w:ind w:firstLine="484" w:firstLineChars="202"/>
        <w:rPr>
          <w:rFonts w:ascii="微软雅黑" w:hAnsi="微软雅黑" w:eastAsia="微软雅黑"/>
          <w:color w:val="0070C0"/>
          <w:sz w:val="24"/>
          <w:szCs w:val="24"/>
        </w:rPr>
      </w:pPr>
      <w:r>
        <w:rPr>
          <w:rFonts w:hint="eastAsia" w:ascii="微软雅黑" w:hAnsi="微软雅黑" w:eastAsia="微软雅黑"/>
          <w:color w:val="0070C0"/>
          <w:sz w:val="24"/>
          <w:szCs w:val="24"/>
        </w:rPr>
        <w:t>（3）“制剂类型”：原则上各医疗机构只可申请调剂使用1种制剂；“拟</w:t>
      </w:r>
      <w:r>
        <w:rPr>
          <w:rFonts w:ascii="微软雅黑" w:hAnsi="微软雅黑" w:eastAsia="微软雅黑"/>
          <w:color w:val="0070C0"/>
          <w:sz w:val="24"/>
          <w:szCs w:val="24"/>
        </w:rPr>
        <w:t>调剂</w:t>
      </w:r>
      <w:r>
        <w:rPr>
          <w:rFonts w:hint="eastAsia" w:ascii="微软雅黑" w:hAnsi="微软雅黑" w:eastAsia="微软雅黑"/>
          <w:color w:val="0070C0"/>
          <w:sz w:val="24"/>
          <w:szCs w:val="24"/>
        </w:rPr>
        <w:t>制剂数”：请按拟贴敷人数填报；“本院制剂”：需为国家/北京市药监部门批准的院内制剂。</w:t>
      </w:r>
    </w:p>
    <w:p w14:paraId="332BFD01">
      <w:pPr>
        <w:ind w:firstLine="484" w:firstLineChars="202"/>
        <w:rPr>
          <w:rFonts w:ascii="微软雅黑" w:hAnsi="微软雅黑" w:eastAsia="微软雅黑"/>
          <w:color w:val="0070C0"/>
          <w:sz w:val="24"/>
          <w:szCs w:val="24"/>
        </w:rPr>
      </w:pPr>
      <w:r>
        <w:rPr>
          <w:rFonts w:hint="eastAsia" w:ascii="微软雅黑" w:hAnsi="微软雅黑" w:eastAsia="微软雅黑"/>
          <w:color w:val="0070C0"/>
          <w:sz w:val="24"/>
          <w:szCs w:val="24"/>
        </w:rPr>
        <w:t>（4）点击</w:t>
      </w:r>
      <w:r>
        <w:rPr>
          <w:rFonts w:hint="eastAsia" w:ascii="微软雅黑" w:hAnsi="微软雅黑" w:eastAsia="微软雅黑"/>
          <w:color w:val="C00000"/>
          <w:sz w:val="24"/>
          <w:szCs w:val="24"/>
        </w:rPr>
        <w:t>保存基本信息</w:t>
      </w:r>
      <w:r>
        <w:rPr>
          <w:rFonts w:hint="eastAsia" w:ascii="微软雅黑" w:hAnsi="微软雅黑" w:eastAsia="微软雅黑"/>
          <w:color w:val="0070C0"/>
          <w:sz w:val="24"/>
          <w:szCs w:val="24"/>
        </w:rPr>
        <w:t>，只保存当前机构信息不会提交审核，制剂信息新增之后点击</w:t>
      </w:r>
      <w:r>
        <w:rPr>
          <w:rFonts w:hint="eastAsia" w:ascii="微软雅黑" w:hAnsi="微软雅黑" w:eastAsia="微软雅黑"/>
          <w:color w:val="FF0000"/>
          <w:sz w:val="24"/>
          <w:szCs w:val="24"/>
        </w:rPr>
        <w:t>提交审核</w:t>
      </w:r>
      <w:r>
        <w:rPr>
          <w:rFonts w:hint="eastAsia" w:ascii="微软雅黑" w:hAnsi="微软雅黑" w:eastAsia="微软雅黑"/>
          <w:color w:val="0070C0"/>
          <w:sz w:val="24"/>
          <w:szCs w:val="24"/>
        </w:rPr>
        <w:t>后，系统会将数据推送到区级审核，此时不可修改制剂备案信息。可通过</w:t>
      </w:r>
      <w:r>
        <w:rPr>
          <w:rFonts w:hint="eastAsia" w:ascii="微软雅黑" w:hAnsi="微软雅黑" w:eastAsia="微软雅黑"/>
          <w:color w:val="FF0000"/>
          <w:sz w:val="24"/>
          <w:szCs w:val="24"/>
        </w:rPr>
        <w:t>登记备案审核状态</w:t>
      </w:r>
      <w:r>
        <w:rPr>
          <w:rFonts w:hint="eastAsia" w:ascii="微软雅黑" w:hAnsi="微软雅黑" w:eastAsia="微软雅黑"/>
          <w:color w:val="0070C0"/>
          <w:sz w:val="24"/>
          <w:szCs w:val="24"/>
        </w:rPr>
        <w:t>功能查看审核状态，被驳回的可修改并再次审核。</w:t>
      </w:r>
    </w:p>
    <w:p w14:paraId="3EA08420">
      <w:pPr>
        <w:ind w:firstLine="424" w:firstLineChars="202"/>
      </w:pPr>
    </w:p>
    <w:p w14:paraId="647EDCC1">
      <w:pPr>
        <w:ind w:firstLine="560" w:firstLineChars="200"/>
        <w:rPr>
          <w:rFonts w:ascii="微软雅黑" w:hAnsi="微软雅黑" w:eastAsia="微软雅黑"/>
          <w:b/>
          <w:bCs/>
          <w:sz w:val="28"/>
          <w:szCs w:val="28"/>
        </w:rPr>
      </w:pPr>
      <w:r>
        <w:rPr>
          <w:rFonts w:hint="eastAsia" w:ascii="微软雅黑" w:hAnsi="微软雅黑" w:eastAsia="微软雅黑"/>
          <w:b/>
          <w:bCs/>
          <w:sz w:val="28"/>
          <w:szCs w:val="28"/>
        </w:rPr>
        <w:t>二、登记信息查询</w:t>
      </w:r>
    </w:p>
    <w:p w14:paraId="54BD6C37">
      <w:pPr>
        <w:ind w:firstLine="560" w:firstLineChars="200"/>
        <w:rPr>
          <w:rStyle w:val="9"/>
          <w:rFonts w:hint="default" w:ascii="微软雅黑" w:hAnsi="微软雅黑" w:eastAsia="微软雅黑" w:cs="宋体"/>
          <w:sz w:val="28"/>
          <w:szCs w:val="28"/>
        </w:rPr>
      </w:pPr>
      <w:r>
        <w:rPr>
          <w:rStyle w:val="9"/>
          <w:rFonts w:hint="default" w:ascii="微软雅黑" w:hAnsi="微软雅黑" w:eastAsia="微软雅黑" w:cs="宋体"/>
          <w:sz w:val="28"/>
          <w:szCs w:val="28"/>
        </w:rPr>
        <w:t>医疗机构提交单位信息后，可通过【</w:t>
      </w:r>
      <w:r>
        <w:rPr>
          <w:rFonts w:hint="eastAsia" w:ascii="微软雅黑" w:hAnsi="微软雅黑" w:eastAsia="微软雅黑"/>
          <w:color w:val="FF0000"/>
          <w:sz w:val="24"/>
          <w:szCs w:val="24"/>
        </w:rPr>
        <w:t>登记备案审核状态</w:t>
      </w:r>
      <w:r>
        <w:rPr>
          <w:rStyle w:val="9"/>
          <w:rFonts w:hint="default" w:ascii="微软雅黑" w:hAnsi="微软雅黑" w:eastAsia="微软雅黑" w:cs="宋体"/>
          <w:sz w:val="28"/>
          <w:szCs w:val="28"/>
        </w:rPr>
        <w:t>】功能查询审核状态及备案信息。</w:t>
      </w:r>
    </w:p>
    <w:p w14:paraId="3E6470A2">
      <w:pPr>
        <w:ind w:firstLine="560" w:firstLineChars="200"/>
        <w:rPr>
          <w:rStyle w:val="9"/>
          <w:rFonts w:hint="default" w:ascii="微软雅黑" w:hAnsi="微软雅黑" w:eastAsia="微软雅黑" w:cs="宋体"/>
          <w:sz w:val="28"/>
          <w:szCs w:val="28"/>
        </w:rPr>
      </w:pPr>
      <w:r>
        <w:rPr>
          <w:rStyle w:val="9"/>
          <w:rFonts w:hint="default" w:ascii="微软雅黑" w:hAnsi="微软雅黑" w:eastAsia="微软雅黑" w:cs="宋体"/>
          <w:sz w:val="28"/>
          <w:szCs w:val="28"/>
        </w:rPr>
        <w:t>审核状态主要分为以下三类：</w:t>
      </w:r>
    </w:p>
    <w:p w14:paraId="39695720">
      <w:pPr>
        <w:ind w:left="425" w:firstLine="140" w:firstLineChars="50"/>
        <w:rPr>
          <w:rStyle w:val="9"/>
          <w:rFonts w:hint="default" w:ascii="微软雅黑" w:hAnsi="微软雅黑" w:eastAsia="微软雅黑" w:cs="宋体"/>
          <w:sz w:val="28"/>
          <w:szCs w:val="28"/>
        </w:rPr>
      </w:pPr>
      <w:r>
        <w:rPr>
          <w:rStyle w:val="9"/>
          <w:rFonts w:hint="default" w:ascii="微软雅黑" w:hAnsi="微软雅黑" w:eastAsia="微软雅黑" w:cs="宋体"/>
          <w:sz w:val="28"/>
          <w:szCs w:val="28"/>
        </w:rPr>
        <w:t>（1）通过</w:t>
      </w:r>
    </w:p>
    <w:p w14:paraId="3E637A16">
      <w:pPr>
        <w:ind w:firstLine="560" w:firstLineChars="200"/>
        <w:rPr>
          <w:rStyle w:val="9"/>
          <w:rFonts w:hint="default" w:ascii="微软雅黑" w:hAnsi="微软雅黑" w:eastAsia="微软雅黑" w:cs="宋体"/>
          <w:sz w:val="28"/>
          <w:szCs w:val="28"/>
        </w:rPr>
      </w:pPr>
      <w:r>
        <w:rPr>
          <w:rStyle w:val="9"/>
          <w:rFonts w:hint="default" w:ascii="微软雅黑" w:hAnsi="微软雅黑" w:eastAsia="微软雅黑" w:cs="宋体"/>
          <w:sz w:val="28"/>
          <w:szCs w:val="28"/>
        </w:rPr>
        <w:t>（2）驳回：医疗机构填报信息与实际不符或有误 - 可修改填报信息/数据后再次提交。</w:t>
      </w:r>
    </w:p>
    <w:p w14:paraId="5DFCED57">
      <w:pPr>
        <w:ind w:firstLine="560" w:firstLineChars="200"/>
        <w:rPr>
          <w:rStyle w:val="9"/>
          <w:rFonts w:hint="default" w:ascii="微软雅黑" w:hAnsi="微软雅黑" w:eastAsia="微软雅黑" w:cs="宋体"/>
          <w:sz w:val="28"/>
          <w:szCs w:val="28"/>
        </w:rPr>
      </w:pPr>
      <w:r>
        <w:rPr>
          <w:rStyle w:val="9"/>
          <w:rFonts w:hint="default" w:ascii="微软雅黑" w:hAnsi="微软雅黑" w:eastAsia="微软雅黑" w:cs="宋体"/>
          <w:sz w:val="28"/>
          <w:szCs w:val="28"/>
        </w:rPr>
        <w:t>（3）未通过：医疗机构的资质或其他与</w:t>
      </w:r>
      <w:r>
        <w:rPr>
          <w:rStyle w:val="9"/>
          <w:rFonts w:hint="eastAsia" w:ascii="微软雅黑" w:hAnsi="微软雅黑" w:eastAsia="微软雅黑" w:cs="宋体"/>
          <w:sz w:val="28"/>
          <w:szCs w:val="28"/>
          <w:lang w:eastAsia="zh-CN"/>
        </w:rPr>
        <w:t>市中医药局</w:t>
      </w:r>
      <w:r>
        <w:rPr>
          <w:rStyle w:val="9"/>
          <w:rFonts w:hint="default" w:ascii="微软雅黑" w:hAnsi="微软雅黑" w:eastAsia="微软雅黑" w:cs="宋体"/>
          <w:sz w:val="28"/>
          <w:szCs w:val="28"/>
        </w:rPr>
        <w:t>三伏贴有关要求/规定不符 - 不可再次提交。</w:t>
      </w:r>
    </w:p>
    <w:p w14:paraId="0394E182">
      <w:pPr>
        <w:rPr>
          <w:rFonts w:ascii="宋体" w:hAnsi="宋体" w:eastAsia="宋体"/>
          <w:color w:val="000000" w:themeColor="text1"/>
        </w:rPr>
      </w:pPr>
    </w:p>
    <w:p w14:paraId="025BBAFF">
      <w:pPr>
        <w:ind w:firstLine="560" w:firstLineChars="200"/>
        <w:rPr>
          <w:rFonts w:ascii="微软雅黑" w:hAnsi="微软雅黑" w:eastAsia="微软雅黑"/>
          <w:b/>
          <w:bCs/>
          <w:sz w:val="28"/>
          <w:szCs w:val="28"/>
        </w:rPr>
      </w:pPr>
      <w:r>
        <w:rPr>
          <w:rFonts w:hint="eastAsia" w:ascii="微软雅黑" w:hAnsi="微软雅黑" w:eastAsia="微软雅黑"/>
          <w:b/>
          <w:bCs/>
          <w:sz w:val="28"/>
          <w:szCs w:val="28"/>
        </w:rPr>
        <w:t>四、工作数据上报</w:t>
      </w:r>
    </w:p>
    <w:p w14:paraId="2768943B">
      <w:pPr>
        <w:ind w:firstLine="560" w:firstLineChars="200"/>
        <w:rPr>
          <w:rFonts w:ascii="微软雅黑" w:hAnsi="微软雅黑" w:eastAsia="微软雅黑"/>
          <w:color w:val="000000" w:themeColor="text1"/>
          <w:sz w:val="28"/>
          <w:szCs w:val="28"/>
        </w:rPr>
      </w:pPr>
      <w:r>
        <w:rPr>
          <w:rFonts w:hint="eastAsia" w:ascii="微软雅黑" w:hAnsi="微软雅黑" w:eastAsia="微软雅黑"/>
          <w:color w:val="000000" w:themeColor="text1"/>
          <w:sz w:val="28"/>
          <w:szCs w:val="28"/>
        </w:rPr>
        <w:t>各医疗机构应于规定的时间内，通过【贴敷汇报】功能填报本机构贴敷服务中的数据信息。</w:t>
      </w:r>
    </w:p>
    <w:p w14:paraId="2C251ED4">
      <w:pPr>
        <w:ind w:firstLine="420" w:firstLineChars="200"/>
        <w:jc w:val="center"/>
        <w:rPr>
          <w:rFonts w:ascii="微软雅黑" w:hAnsi="微软雅黑" w:eastAsia="微软雅黑"/>
          <w:color w:val="000000" w:themeColor="text1"/>
          <w:sz w:val="28"/>
          <w:szCs w:val="28"/>
        </w:rPr>
      </w:pPr>
      <w:r>
        <w:drawing>
          <wp:inline distT="0" distB="0" distL="0" distR="0">
            <wp:extent cx="4090035" cy="8863330"/>
            <wp:effectExtent l="0" t="0" r="5715"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cstate="email"/>
                    <a:stretch>
                      <a:fillRect/>
                    </a:stretch>
                  </pic:blipFill>
                  <pic:spPr>
                    <a:xfrm>
                      <a:off x="0" y="0"/>
                      <a:ext cx="4090035" cy="8863330"/>
                    </a:xfrm>
                    <a:prstGeom prst="rect">
                      <a:avLst/>
                    </a:prstGeom>
                  </pic:spPr>
                </pic:pic>
              </a:graphicData>
            </a:graphic>
          </wp:inline>
        </w:drawing>
      </w:r>
    </w:p>
    <w:p w14:paraId="0D436D51">
      <w:pPr>
        <w:ind w:firstLine="420" w:firstLineChars="200"/>
        <w:jc w:val="center"/>
        <w:rPr>
          <w:rFonts w:ascii="微软雅黑" w:hAnsi="微软雅黑" w:eastAsia="微软雅黑"/>
          <w:color w:val="000000" w:themeColor="text1"/>
          <w:sz w:val="28"/>
          <w:szCs w:val="28"/>
        </w:rPr>
      </w:pPr>
      <w:r>
        <w:drawing>
          <wp:inline distT="0" distB="0" distL="0" distR="0">
            <wp:extent cx="4644390" cy="8863330"/>
            <wp:effectExtent l="0" t="0" r="3810"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cstate="email"/>
                    <a:stretch>
                      <a:fillRect/>
                    </a:stretch>
                  </pic:blipFill>
                  <pic:spPr>
                    <a:xfrm>
                      <a:off x="0" y="0"/>
                      <a:ext cx="4644390" cy="8863330"/>
                    </a:xfrm>
                    <a:prstGeom prst="rect">
                      <a:avLst/>
                    </a:prstGeom>
                  </pic:spPr>
                </pic:pic>
              </a:graphicData>
            </a:graphic>
          </wp:inline>
        </w:drawing>
      </w:r>
    </w:p>
    <w:p w14:paraId="519D16FC">
      <w:pPr>
        <w:ind w:firstLine="560" w:firstLineChars="200"/>
        <w:jc w:val="center"/>
        <w:rPr>
          <w:rFonts w:ascii="微软雅黑" w:hAnsi="微软雅黑" w:eastAsia="微软雅黑"/>
          <w:color w:val="000000" w:themeColor="text1"/>
          <w:sz w:val="28"/>
          <w:szCs w:val="28"/>
        </w:rPr>
      </w:pPr>
    </w:p>
    <w:p w14:paraId="7CD17039">
      <w:pPr>
        <w:ind w:firstLine="484" w:firstLineChars="202"/>
        <w:rPr>
          <w:rFonts w:ascii="微软雅黑" w:hAnsi="微软雅黑" w:eastAsia="微软雅黑"/>
          <w:color w:val="0070C0"/>
          <w:sz w:val="24"/>
          <w:szCs w:val="24"/>
        </w:rPr>
      </w:pPr>
      <w:r>
        <w:rPr>
          <w:rFonts w:hint="eastAsia" w:ascii="微软雅黑" w:hAnsi="微软雅黑" w:eastAsia="微软雅黑"/>
          <w:color w:val="0070C0"/>
          <w:sz w:val="24"/>
          <w:szCs w:val="24"/>
        </w:rPr>
        <w:t>说明：各医疗机构报送的三伏贴工作数据，统一纳入信息报送系统管理平台，各区卫生健康委、市</w:t>
      </w:r>
      <w:r>
        <w:rPr>
          <w:rFonts w:hint="eastAsia" w:ascii="微软雅黑" w:hAnsi="微软雅黑" w:eastAsia="微软雅黑"/>
          <w:color w:val="0070C0"/>
          <w:sz w:val="24"/>
          <w:szCs w:val="24"/>
          <w:lang w:eastAsia="zh-CN"/>
        </w:rPr>
        <w:t>中医药管理局</w:t>
      </w:r>
      <w:r>
        <w:rPr>
          <w:rFonts w:hint="eastAsia" w:ascii="微软雅黑" w:hAnsi="微软雅黑" w:eastAsia="微软雅黑"/>
          <w:color w:val="0070C0"/>
          <w:sz w:val="24"/>
          <w:szCs w:val="24"/>
        </w:rPr>
        <w:t>将通过管理平台掌握并评价各医疗机构、各区提供三伏贴医疗机构的工作开展情况。</w:t>
      </w:r>
    </w:p>
    <w:p w14:paraId="66BD647C">
      <w:pPr>
        <w:ind w:firstLine="484" w:firstLineChars="202"/>
        <w:rPr>
          <w:rFonts w:ascii="微软雅黑" w:hAnsi="微软雅黑" w:eastAsia="微软雅黑"/>
          <w:color w:val="0070C0"/>
          <w:sz w:val="24"/>
          <w:szCs w:val="24"/>
        </w:rPr>
      </w:pPr>
    </w:p>
    <w:p w14:paraId="021BB22B">
      <w:pPr>
        <w:ind w:firstLine="560" w:firstLineChars="200"/>
        <w:rPr>
          <w:rFonts w:ascii="微软雅黑" w:hAnsi="微软雅黑" w:eastAsia="微软雅黑"/>
          <w:b/>
          <w:bCs/>
          <w:sz w:val="28"/>
          <w:szCs w:val="28"/>
        </w:rPr>
      </w:pPr>
      <w:r>
        <w:rPr>
          <w:rFonts w:hint="eastAsia" w:ascii="微软雅黑" w:hAnsi="微软雅黑" w:eastAsia="微软雅黑"/>
          <w:b/>
          <w:bCs/>
          <w:sz w:val="28"/>
          <w:szCs w:val="28"/>
        </w:rPr>
        <w:t>五、通知规范</w:t>
      </w:r>
    </w:p>
    <w:p w14:paraId="052765B1">
      <w:pPr>
        <w:ind w:firstLine="560" w:firstLineChars="200"/>
        <w:rPr>
          <w:rFonts w:ascii="微软雅黑" w:hAnsi="微软雅黑" w:eastAsia="微软雅黑"/>
          <w:color w:val="000000" w:themeColor="text1"/>
          <w:sz w:val="28"/>
          <w:szCs w:val="28"/>
        </w:rPr>
      </w:pPr>
      <w:r>
        <w:rPr>
          <w:rFonts w:hint="eastAsia" w:ascii="微软雅黑" w:hAnsi="微软雅黑" w:eastAsia="微软雅黑"/>
          <w:color w:val="000000" w:themeColor="text1"/>
          <w:sz w:val="28"/>
          <w:szCs w:val="28"/>
        </w:rPr>
        <w:t>各医疗机构可登录本公众号，在【通知规范】模块中点击、下载北京市</w:t>
      </w:r>
      <w:r>
        <w:rPr>
          <w:rFonts w:hint="eastAsia" w:ascii="微软雅黑" w:hAnsi="微软雅黑" w:eastAsia="微软雅黑"/>
          <w:color w:val="000000" w:themeColor="text1"/>
          <w:sz w:val="28"/>
          <w:szCs w:val="28"/>
          <w:lang w:eastAsia="zh-CN"/>
        </w:rPr>
        <w:t>中医药管理局</w:t>
      </w:r>
      <w:r>
        <w:rPr>
          <w:rFonts w:hint="eastAsia" w:ascii="微软雅黑" w:hAnsi="微软雅黑" w:eastAsia="微软雅黑"/>
          <w:color w:val="000000" w:themeColor="text1"/>
          <w:sz w:val="28"/>
          <w:szCs w:val="28"/>
        </w:rPr>
        <w:t>202</w:t>
      </w:r>
      <w:r>
        <w:rPr>
          <w:rFonts w:ascii="微软雅黑" w:hAnsi="微软雅黑" w:eastAsia="微软雅黑"/>
          <w:color w:val="000000" w:themeColor="text1"/>
          <w:sz w:val="28"/>
          <w:szCs w:val="28"/>
        </w:rPr>
        <w:t>6</w:t>
      </w:r>
      <w:r>
        <w:rPr>
          <w:rFonts w:hint="eastAsia" w:ascii="微软雅黑" w:hAnsi="微软雅黑" w:eastAsia="微软雅黑"/>
          <w:color w:val="000000" w:themeColor="text1"/>
          <w:sz w:val="28"/>
          <w:szCs w:val="28"/>
        </w:rPr>
        <w:t>年</w:t>
      </w:r>
      <w:r>
        <w:rPr>
          <w:rFonts w:hint="eastAsia" w:ascii="微软雅黑" w:hAnsi="微软雅黑" w:eastAsia="微软雅黑"/>
          <w:color w:val="000000" w:themeColor="text1"/>
          <w:sz w:val="28"/>
          <w:szCs w:val="28"/>
          <w:lang w:eastAsia="zh-CN"/>
        </w:rPr>
        <w:t>冬病夏治穴位贴敷</w:t>
      </w:r>
      <w:r>
        <w:rPr>
          <w:rFonts w:hint="eastAsia" w:ascii="微软雅黑" w:hAnsi="微软雅黑" w:eastAsia="微软雅黑"/>
          <w:color w:val="000000" w:themeColor="text1"/>
          <w:sz w:val="28"/>
          <w:szCs w:val="28"/>
        </w:rPr>
        <w:t>工作的通知、方案以及</w:t>
      </w:r>
      <w:r>
        <w:rPr>
          <w:rFonts w:ascii="微软雅黑" w:hAnsi="微软雅黑" w:eastAsia="微软雅黑"/>
          <w:color w:val="000000" w:themeColor="text1"/>
          <w:sz w:val="28"/>
          <w:szCs w:val="28"/>
        </w:rPr>
        <w:t>北京针灸学会制订的贴敷</w:t>
      </w:r>
      <w:r>
        <w:rPr>
          <w:rFonts w:hint="eastAsia" w:ascii="微软雅黑" w:hAnsi="微软雅黑" w:eastAsia="微软雅黑"/>
          <w:color w:val="000000" w:themeColor="text1"/>
          <w:sz w:val="28"/>
          <w:szCs w:val="28"/>
        </w:rPr>
        <w:t>技术规范等资料，供机构学习、培训使用。</w:t>
      </w:r>
    </w:p>
    <w:p w14:paraId="4BEC51DC">
      <w:pPr>
        <w:ind w:firstLine="560" w:firstLineChars="200"/>
        <w:rPr>
          <w:rFonts w:ascii="微软雅黑" w:hAnsi="微软雅黑" w:eastAsia="微软雅黑"/>
          <w:color w:val="000000" w:themeColor="text1"/>
          <w:sz w:val="28"/>
          <w:szCs w:val="28"/>
        </w:rPr>
      </w:pPr>
    </w:p>
    <w:p w14:paraId="2636B9CE">
      <w:pPr>
        <w:ind w:firstLine="560" w:firstLineChars="200"/>
        <w:rPr>
          <w:rFonts w:ascii="微软雅黑" w:hAnsi="微软雅黑" w:eastAsia="微软雅黑"/>
          <w:b/>
          <w:bCs/>
          <w:sz w:val="28"/>
          <w:szCs w:val="28"/>
        </w:rPr>
      </w:pPr>
      <w:r>
        <w:rPr>
          <w:rFonts w:hint="eastAsia" w:ascii="微软雅黑" w:hAnsi="微软雅黑" w:eastAsia="微软雅黑"/>
          <w:b/>
          <w:bCs/>
          <w:sz w:val="28"/>
          <w:szCs w:val="28"/>
        </w:rPr>
        <w:t>六、科普宣传</w:t>
      </w:r>
    </w:p>
    <w:p w14:paraId="524A5435">
      <w:pPr>
        <w:ind w:firstLine="560" w:firstLineChars="200"/>
      </w:pPr>
      <w:r>
        <w:rPr>
          <w:rFonts w:hint="eastAsia" w:ascii="微软雅黑" w:hAnsi="微软雅黑" w:eastAsia="微软雅黑"/>
          <w:color w:val="000000" w:themeColor="text1"/>
          <w:sz w:val="28"/>
          <w:szCs w:val="28"/>
        </w:rPr>
        <w:t>各医疗机构可登录公众号，在【科普宣传】模块中点击、下载由北京市</w:t>
      </w:r>
      <w:r>
        <w:rPr>
          <w:rFonts w:hint="eastAsia" w:ascii="微软雅黑" w:hAnsi="微软雅黑" w:eastAsia="微软雅黑"/>
          <w:color w:val="000000" w:themeColor="text1"/>
          <w:sz w:val="28"/>
          <w:szCs w:val="28"/>
          <w:lang w:eastAsia="zh-CN"/>
        </w:rPr>
        <w:t>中医药管理局</w:t>
      </w:r>
      <w:r>
        <w:rPr>
          <w:rFonts w:hint="eastAsia" w:ascii="微软雅黑" w:hAnsi="微软雅黑" w:eastAsia="微软雅黑"/>
          <w:color w:val="000000" w:themeColor="text1"/>
          <w:sz w:val="28"/>
          <w:szCs w:val="28"/>
        </w:rPr>
        <w:t>、北京针灸学会统一编制的</w:t>
      </w:r>
      <w:r>
        <w:rPr>
          <w:rFonts w:hint="eastAsia" w:ascii="微软雅黑" w:hAnsi="微软雅黑" w:eastAsia="微软雅黑"/>
          <w:color w:val="000000" w:themeColor="text1"/>
          <w:sz w:val="28"/>
          <w:szCs w:val="28"/>
          <w:lang w:eastAsia="zh-CN"/>
        </w:rPr>
        <w:t>冬病夏治穴位贴敷</w:t>
      </w:r>
      <w:r>
        <w:rPr>
          <w:rFonts w:hint="eastAsia" w:ascii="微软雅黑" w:hAnsi="微软雅黑" w:eastAsia="微软雅黑"/>
          <w:color w:val="000000" w:themeColor="text1"/>
          <w:sz w:val="28"/>
          <w:szCs w:val="28"/>
        </w:rPr>
        <w:t>科普宣传材料（含海报、宣传材料、微视频二维码等），供机构三伏贴宣传使用。</w:t>
      </w:r>
    </w:p>
    <w:p w14:paraId="1ACC9488">
      <w:pPr>
        <w:keepNext w:val="0"/>
        <w:keepLines w:val="0"/>
        <w:widowControl w:val="0"/>
        <w:suppressLineNumbers w:val="0"/>
        <w:spacing w:before="0" w:beforeAutospacing="0" w:after="0" w:afterAutospacing="0"/>
        <w:ind w:left="0" w:right="0"/>
        <w:jc w:val="both"/>
        <w:rPr>
          <w:rFonts w:ascii="Times New Roman" w:hAnsi="Times New Roman"/>
          <w:sz w:val="32"/>
          <w:szCs w:val="32"/>
        </w:rPr>
      </w:pPr>
    </w:p>
    <w:sectPr>
      <w:footerReference r:id="rId3" w:type="default"/>
      <w:pgSz w:w="11906" w:h="16838"/>
      <w:pgMar w:top="2098" w:right="1474" w:bottom="1984" w:left="158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1" w:fontKey="{C09BD3A1-5E56-42C9-8D13-FB1540064B39}"/>
  </w:font>
  <w:font w:name="方正小标宋简体">
    <w:panose1 w:val="02000000000000000000"/>
    <w:charset w:val="86"/>
    <w:family w:val="auto"/>
    <w:pitch w:val="default"/>
    <w:sig w:usb0="00000001" w:usb1="080E0000" w:usb2="00000000" w:usb3="00000000" w:csb0="00040000" w:csb1="00000000"/>
    <w:embedRegular r:id="rId2" w:fontKey="{0BE17B77-EAEA-483D-B4E3-1118D62F35C6}"/>
  </w:font>
  <w:font w:name="方正楷体_GB2312">
    <w:panose1 w:val="02000000000000000000"/>
    <w:charset w:val="86"/>
    <w:family w:val="auto"/>
    <w:pitch w:val="default"/>
    <w:sig w:usb0="A00002BF" w:usb1="184F6CFA" w:usb2="00000012" w:usb3="00000000" w:csb0="00040001" w:csb1="00000000"/>
    <w:embedRegular r:id="rId3" w:fontKey="{8CA9344E-2E82-4F50-881D-E689EB097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275914"/>
      <w:docPartObj>
        <w:docPartGallery w:val="autotext"/>
      </w:docPartObj>
    </w:sdtPr>
    <w:sdtContent>
      <w:p w14:paraId="49E9B6D4">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14:paraId="1A1A2779">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8"/>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GU2NDVmNzk5ZmI3YzNiNTViMzQ1M2U4MzI1ZGY0M2IifQ=="/>
    <w:docVar w:name="KSO_WPS_MARK_KEY" w:val="5aca8934-7a44-4631-9868-e16840a5c228"/>
  </w:docVars>
  <w:rsids>
    <w:rsidRoot w:val="00CD1C2E"/>
    <w:rsid w:val="00000F6B"/>
    <w:rsid w:val="00043217"/>
    <w:rsid w:val="00073712"/>
    <w:rsid w:val="000B6FD0"/>
    <w:rsid w:val="000C4B13"/>
    <w:rsid w:val="000F12B8"/>
    <w:rsid w:val="00101BD6"/>
    <w:rsid w:val="0011389F"/>
    <w:rsid w:val="00121B0F"/>
    <w:rsid w:val="00144722"/>
    <w:rsid w:val="00161F10"/>
    <w:rsid w:val="00166339"/>
    <w:rsid w:val="00172171"/>
    <w:rsid w:val="001922DE"/>
    <w:rsid w:val="001C2EE5"/>
    <w:rsid w:val="001F2D23"/>
    <w:rsid w:val="00200E10"/>
    <w:rsid w:val="0020780E"/>
    <w:rsid w:val="00233548"/>
    <w:rsid w:val="00235C65"/>
    <w:rsid w:val="002853CB"/>
    <w:rsid w:val="002C1825"/>
    <w:rsid w:val="0030004A"/>
    <w:rsid w:val="00320F1A"/>
    <w:rsid w:val="00373E7E"/>
    <w:rsid w:val="00386A18"/>
    <w:rsid w:val="003B5F47"/>
    <w:rsid w:val="003F40A9"/>
    <w:rsid w:val="0041312B"/>
    <w:rsid w:val="00451EE9"/>
    <w:rsid w:val="0046287C"/>
    <w:rsid w:val="0048080F"/>
    <w:rsid w:val="004B05F7"/>
    <w:rsid w:val="004E2416"/>
    <w:rsid w:val="00525C00"/>
    <w:rsid w:val="00530DD8"/>
    <w:rsid w:val="005555D0"/>
    <w:rsid w:val="00571BF4"/>
    <w:rsid w:val="0057705C"/>
    <w:rsid w:val="005C6120"/>
    <w:rsid w:val="00605DB4"/>
    <w:rsid w:val="00606F83"/>
    <w:rsid w:val="00654B17"/>
    <w:rsid w:val="006C090A"/>
    <w:rsid w:val="006C52C7"/>
    <w:rsid w:val="006D6632"/>
    <w:rsid w:val="00705C56"/>
    <w:rsid w:val="00721209"/>
    <w:rsid w:val="00735C46"/>
    <w:rsid w:val="00742FA6"/>
    <w:rsid w:val="00777E5D"/>
    <w:rsid w:val="0078506B"/>
    <w:rsid w:val="00806484"/>
    <w:rsid w:val="00837DE9"/>
    <w:rsid w:val="00841DDC"/>
    <w:rsid w:val="008D2380"/>
    <w:rsid w:val="008F12D6"/>
    <w:rsid w:val="00955358"/>
    <w:rsid w:val="00961308"/>
    <w:rsid w:val="009B5916"/>
    <w:rsid w:val="009D4DB4"/>
    <w:rsid w:val="009D6303"/>
    <w:rsid w:val="00A10301"/>
    <w:rsid w:val="00A15ECB"/>
    <w:rsid w:val="00A213D7"/>
    <w:rsid w:val="00A60318"/>
    <w:rsid w:val="00AD202E"/>
    <w:rsid w:val="00B11D97"/>
    <w:rsid w:val="00B32300"/>
    <w:rsid w:val="00B33B90"/>
    <w:rsid w:val="00B477CD"/>
    <w:rsid w:val="00B9083C"/>
    <w:rsid w:val="00BF0682"/>
    <w:rsid w:val="00BF6278"/>
    <w:rsid w:val="00C02042"/>
    <w:rsid w:val="00C06308"/>
    <w:rsid w:val="00C201B2"/>
    <w:rsid w:val="00C507FD"/>
    <w:rsid w:val="00CA2ABD"/>
    <w:rsid w:val="00CA7DE5"/>
    <w:rsid w:val="00CB00EA"/>
    <w:rsid w:val="00CB7971"/>
    <w:rsid w:val="00CD1C2E"/>
    <w:rsid w:val="00CF3005"/>
    <w:rsid w:val="00D26095"/>
    <w:rsid w:val="00D322E8"/>
    <w:rsid w:val="00D50C3B"/>
    <w:rsid w:val="00D72D01"/>
    <w:rsid w:val="00DB55C9"/>
    <w:rsid w:val="00DE0DC0"/>
    <w:rsid w:val="00E346AB"/>
    <w:rsid w:val="00E34A1F"/>
    <w:rsid w:val="00E421E9"/>
    <w:rsid w:val="00E86816"/>
    <w:rsid w:val="00E94A94"/>
    <w:rsid w:val="00EA75FF"/>
    <w:rsid w:val="00ED4F99"/>
    <w:rsid w:val="00EE1DCF"/>
    <w:rsid w:val="00F34DD7"/>
    <w:rsid w:val="00F70F24"/>
    <w:rsid w:val="00FB211A"/>
    <w:rsid w:val="00FB4854"/>
    <w:rsid w:val="00FE3830"/>
    <w:rsid w:val="00FE6047"/>
    <w:rsid w:val="022B0E5C"/>
    <w:rsid w:val="0A1568F7"/>
    <w:rsid w:val="0EA174D3"/>
    <w:rsid w:val="17323549"/>
    <w:rsid w:val="1B9E10BB"/>
    <w:rsid w:val="22005275"/>
    <w:rsid w:val="26CE674E"/>
    <w:rsid w:val="2BEB6647"/>
    <w:rsid w:val="3DE76E19"/>
    <w:rsid w:val="3F2527D3"/>
    <w:rsid w:val="40BE43FC"/>
    <w:rsid w:val="43BA6C38"/>
    <w:rsid w:val="5BB167A2"/>
    <w:rsid w:val="5EA00CD5"/>
    <w:rsid w:val="6CA3312F"/>
    <w:rsid w:val="6F470BBA"/>
    <w:rsid w:val="75DEECDF"/>
    <w:rsid w:val="763F1466"/>
    <w:rsid w:val="7F34C7D8"/>
    <w:rsid w:val="7FC0092C"/>
    <w:rsid w:val="9F6E53FB"/>
    <w:rsid w:val="F57F4F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rPr>
  </w:style>
  <w:style w:type="paragraph" w:customStyle="1" w:styleId="8">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character" w:customStyle="1" w:styleId="9">
    <w:name w:val="fontstyle31"/>
    <w:basedOn w:val="6"/>
    <w:qFormat/>
    <w:uiPriority w:val="0"/>
    <w:rPr>
      <w:rFonts w:hint="eastAsia" w:ascii="仿宋" w:hAnsi="仿宋" w:eastAsia="仿宋"/>
      <w:color w:val="000000"/>
      <w:sz w:val="32"/>
      <w:szCs w:val="32"/>
    </w:rPr>
  </w:style>
  <w:style w:type="character" w:customStyle="1" w:styleId="10">
    <w:name w:val="页眉 字符"/>
    <w:basedOn w:val="6"/>
    <w:link w:val="4"/>
    <w:qFormat/>
    <w:uiPriority w:val="0"/>
    <w:rPr>
      <w:kern w:val="2"/>
      <w:sz w:val="18"/>
      <w:szCs w:val="18"/>
    </w:rPr>
  </w:style>
  <w:style w:type="character" w:customStyle="1" w:styleId="11">
    <w:name w:val="页脚 字符"/>
    <w:basedOn w:val="6"/>
    <w:link w:val="3"/>
    <w:qFormat/>
    <w:uiPriority w:val="99"/>
    <w:rPr>
      <w:kern w:val="2"/>
      <w:sz w:val="18"/>
      <w:szCs w:val="18"/>
    </w:rPr>
  </w:style>
  <w:style w:type="paragraph" w:styleId="12">
    <w:name w:val="List Paragraph"/>
    <w:basedOn w:val="1"/>
    <w:qFormat/>
    <w:uiPriority w:val="99"/>
    <w:pPr>
      <w:ind w:firstLine="420" w:firstLineChars="200"/>
    </w:pPr>
  </w:style>
  <w:style w:type="character" w:customStyle="1" w:styleId="13">
    <w:name w:val="批注框文本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1305</Words>
  <Characters>1336</Characters>
  <Lines>1</Lines>
  <Paragraphs>1</Paragraphs>
  <TotalTime>4</TotalTime>
  <ScaleCrop>false</ScaleCrop>
  <LinksUpToDate>false</LinksUpToDate>
  <CharactersWithSpaces>1344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2022-06-14T19:15:00Z</dcterms:created>
  <dc:creator>zl</dc:creator>
  <cp:lastModifiedBy>xgh</cp:lastModifiedBy>
  <dcterms:modified xsi:type="dcterms:W3CDTF">2026-06-22T08:16:52Z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AECBF19AD8E74601931233AC36D8E461</vt:lpwstr>
  </property>
  <property fmtid="{D5CDD505-2E9C-101B-9397-08002B2CF9AE}" pid="4" name="KSOTemplateDocerSaveRecord">
    <vt:lpwstr>eyJoZGlkIjoiYzIzNjhjZjkxMjg2OGJjOTQ0NThhNzBhOGI4YTVmYWYiLCJ1c2VySWQiOiIxMDM5MjEyNzUwIn0=</vt:lpwstr>
  </property>
</Properties>
</file>