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EABB8">
      <w:pPr>
        <w:tabs>
          <w:tab w:val="left" w:pos="5205"/>
        </w:tabs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6</w:t>
      </w:r>
    </w:p>
    <w:p w14:paraId="6888314D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2026年三伏期间调剂使用</w:t>
      </w:r>
    </w:p>
    <w:p w14:paraId="2ADB35EE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贴敷用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医疗机构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制剂药品不良反应报告表</w:t>
      </w:r>
    </w:p>
    <w:p w14:paraId="1CEE444E">
      <w:pPr>
        <w:spacing w:line="240" w:lineRule="exact"/>
        <w:ind w:left="-1260" w:leftChars="-600" w:right="-1260" w:rightChars="-600" w:firstLine="180" w:firstLineChars="100"/>
        <w:rPr>
          <w:b/>
          <w:color w:val="000000"/>
          <w:sz w:val="24"/>
          <w:szCs w:val="20"/>
          <w:u w:val="single"/>
        </w:rPr>
      </w:pPr>
      <w:r>
        <w:rPr>
          <w:rFonts w:hint="eastAsia" w:ascii="宋体"/>
          <w:color w:val="000000"/>
          <w:sz w:val="18"/>
          <w:szCs w:val="18"/>
        </w:rPr>
        <w:t xml:space="preserve">首次报告□        跟踪报告□                                               </w:t>
      </w:r>
      <w:r>
        <w:rPr>
          <w:rFonts w:hint="eastAsia"/>
          <w:color w:val="000000"/>
          <w:sz w:val="18"/>
          <w:szCs w:val="20"/>
        </w:rPr>
        <w:t>编码：</w:t>
      </w:r>
      <w:r>
        <w:rPr>
          <w:rFonts w:hint="eastAsia" w:ascii="宋体"/>
          <w:color w:val="000000"/>
          <w:szCs w:val="20"/>
          <w:u w:val="single"/>
        </w:rPr>
        <w:t xml:space="preserve">                                   </w:t>
      </w:r>
    </w:p>
    <w:p w14:paraId="5BF8E744">
      <w:pPr>
        <w:spacing w:line="240" w:lineRule="exact"/>
        <w:ind w:left="-1260" w:leftChars="-600" w:right="-1260" w:rightChars="-600" w:firstLine="180" w:firstLineChars="100"/>
        <w:rPr>
          <w:rFonts w:ascii="宋体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报告类型：新的</w:t>
      </w:r>
      <w:r>
        <w:rPr>
          <w:rFonts w:hint="eastAsia" w:ascii="宋体"/>
          <w:color w:val="000000"/>
          <w:sz w:val="18"/>
          <w:szCs w:val="18"/>
        </w:rPr>
        <w:t xml:space="preserve">□  </w:t>
      </w:r>
      <w:r>
        <w:rPr>
          <w:rFonts w:hint="eastAsia"/>
          <w:color w:val="000000"/>
          <w:sz w:val="18"/>
          <w:szCs w:val="18"/>
        </w:rPr>
        <w:t>严重</w:t>
      </w:r>
      <w:r>
        <w:rPr>
          <w:rFonts w:hint="eastAsia" w:ascii="宋体"/>
          <w:color w:val="000000"/>
          <w:sz w:val="18"/>
          <w:szCs w:val="18"/>
        </w:rPr>
        <w:t>□</w:t>
      </w:r>
      <w:r>
        <w:rPr>
          <w:rFonts w:hint="eastAsia"/>
          <w:color w:val="000000"/>
          <w:sz w:val="18"/>
          <w:szCs w:val="18"/>
        </w:rPr>
        <w:t xml:space="preserve">  一般</w:t>
      </w:r>
      <w:r>
        <w:rPr>
          <w:rFonts w:hint="eastAsia" w:ascii="宋体"/>
          <w:color w:val="000000"/>
          <w:sz w:val="18"/>
          <w:szCs w:val="18"/>
        </w:rPr>
        <w:t xml:space="preserve">□       </w:t>
      </w:r>
      <w:r>
        <w:rPr>
          <w:rFonts w:hint="eastAsia" w:ascii="宋体"/>
          <w:bCs/>
          <w:color w:val="000000"/>
          <w:sz w:val="18"/>
          <w:szCs w:val="18"/>
        </w:rPr>
        <w:t>报告单位类别：医疗机构</w:t>
      </w:r>
      <w:r>
        <w:rPr>
          <w:rFonts w:hint="eastAsia" w:ascii="宋体"/>
          <w:color w:val="000000"/>
          <w:sz w:val="18"/>
          <w:szCs w:val="18"/>
        </w:rPr>
        <w:t xml:space="preserve">□   </w:t>
      </w:r>
      <w:r>
        <w:rPr>
          <w:rFonts w:hint="eastAsia"/>
          <w:bCs/>
          <w:color w:val="000000"/>
          <w:sz w:val="18"/>
          <w:szCs w:val="18"/>
        </w:rPr>
        <w:t>经营企业</w:t>
      </w:r>
      <w:r>
        <w:rPr>
          <w:rFonts w:hint="eastAsia" w:ascii="宋体"/>
          <w:color w:val="000000"/>
          <w:sz w:val="18"/>
          <w:szCs w:val="18"/>
        </w:rPr>
        <w:t xml:space="preserve">□   生产企业□   个人□   其他□ </w:t>
      </w:r>
      <w:r>
        <w:rPr>
          <w:rFonts w:hint="eastAsia" w:ascii="宋体"/>
          <w:color w:val="000000"/>
          <w:sz w:val="18"/>
          <w:szCs w:val="18"/>
          <w:u w:val="single"/>
        </w:rPr>
        <w:t xml:space="preserve">          </w:t>
      </w:r>
      <w:r>
        <w:rPr>
          <w:rFonts w:hint="eastAsia" w:ascii="宋体"/>
          <w:b/>
          <w:bCs/>
          <w:color w:val="000000"/>
          <w:sz w:val="18"/>
          <w:szCs w:val="18"/>
          <w:u w:val="single"/>
        </w:rPr>
        <w:t xml:space="preserve">   </w:t>
      </w:r>
      <w:r>
        <w:rPr>
          <w:rFonts w:hint="eastAsia" w:ascii="宋体"/>
          <w:color w:val="000000"/>
          <w:sz w:val="18"/>
          <w:szCs w:val="18"/>
          <w:u w:val="single"/>
        </w:rPr>
        <w:t xml:space="preserve"> </w:t>
      </w:r>
      <w:r>
        <w:rPr>
          <w:rFonts w:hint="eastAsia" w:ascii="宋体"/>
          <w:color w:val="000000"/>
          <w:sz w:val="18"/>
          <w:szCs w:val="18"/>
        </w:rPr>
        <w:t xml:space="preserve"> </w:t>
      </w:r>
    </w:p>
    <w:p w14:paraId="464FEDAB">
      <w:pPr>
        <w:ind w:firstLine="90" w:firstLineChars="5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　　　 </w:t>
      </w:r>
    </w:p>
    <w:tbl>
      <w:tblPr>
        <w:tblStyle w:val="2"/>
        <w:tblW w:w="11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948"/>
        <w:gridCol w:w="199"/>
        <w:gridCol w:w="307"/>
        <w:gridCol w:w="439"/>
        <w:gridCol w:w="458"/>
        <w:gridCol w:w="576"/>
        <w:gridCol w:w="331"/>
        <w:gridCol w:w="834"/>
        <w:gridCol w:w="529"/>
        <w:gridCol w:w="210"/>
        <w:gridCol w:w="422"/>
        <w:gridCol w:w="781"/>
        <w:gridCol w:w="214"/>
        <w:gridCol w:w="265"/>
        <w:gridCol w:w="1413"/>
        <w:gridCol w:w="317"/>
        <w:gridCol w:w="9"/>
        <w:gridCol w:w="1320"/>
        <w:gridCol w:w="1026"/>
      </w:tblGrid>
      <w:tr w14:paraId="2732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71" w:type="dxa"/>
            <w:gridSpan w:val="4"/>
            <w:vAlign w:val="center"/>
          </w:tcPr>
          <w:p w14:paraId="1C617A4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患者姓名：</w:t>
            </w:r>
          </w:p>
        </w:tc>
        <w:tc>
          <w:tcPr>
            <w:tcW w:w="1473" w:type="dxa"/>
            <w:gridSpan w:val="3"/>
            <w:vAlign w:val="center"/>
          </w:tcPr>
          <w:p w14:paraId="02D0BB1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性别</w:t>
            </w:r>
            <w:r>
              <w:rPr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2326" w:type="dxa"/>
            <w:gridSpan w:val="5"/>
            <w:vAlign w:val="center"/>
          </w:tcPr>
          <w:p w14:paraId="18C8800C">
            <w:pPr>
              <w:ind w:left="360" w:hanging="360" w:hanging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出生日期</w:t>
            </w:r>
            <w:r>
              <w:rPr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>　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　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  <w:p w14:paraId="1405CE2D">
            <w:pPr>
              <w:ind w:left="360" w:hanging="360" w:hanging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或年龄： </w:t>
            </w:r>
          </w:p>
        </w:tc>
        <w:tc>
          <w:tcPr>
            <w:tcW w:w="1260" w:type="dxa"/>
            <w:gridSpan w:val="3"/>
            <w:vAlign w:val="center"/>
          </w:tcPr>
          <w:p w14:paraId="04796B9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民族：</w:t>
            </w:r>
          </w:p>
        </w:tc>
        <w:tc>
          <w:tcPr>
            <w:tcW w:w="1739" w:type="dxa"/>
            <w:gridSpan w:val="3"/>
            <w:vAlign w:val="center"/>
          </w:tcPr>
          <w:p w14:paraId="5760AE2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体重（kg）：</w:t>
            </w:r>
          </w:p>
        </w:tc>
        <w:tc>
          <w:tcPr>
            <w:tcW w:w="2346" w:type="dxa"/>
            <w:gridSpan w:val="2"/>
            <w:vAlign w:val="center"/>
          </w:tcPr>
          <w:p w14:paraId="40FFE7B4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联系方式：</w:t>
            </w:r>
          </w:p>
        </w:tc>
      </w:tr>
      <w:tr w14:paraId="14BA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768" w:type="dxa"/>
            <w:gridSpan w:val="6"/>
          </w:tcPr>
          <w:p w14:paraId="25B551C3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原患疾病：</w:t>
            </w:r>
          </w:p>
        </w:tc>
        <w:tc>
          <w:tcPr>
            <w:tcW w:w="2902" w:type="dxa"/>
            <w:gridSpan w:val="6"/>
            <w:vAlign w:val="center"/>
          </w:tcPr>
          <w:p w14:paraId="64B531F8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医院名称： </w:t>
            </w:r>
          </w:p>
          <w:p w14:paraId="3528DDD9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病历号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门诊号：</w:t>
            </w:r>
          </w:p>
        </w:tc>
        <w:tc>
          <w:tcPr>
            <w:tcW w:w="5345" w:type="dxa"/>
            <w:gridSpan w:val="8"/>
            <w:vAlign w:val="center"/>
          </w:tcPr>
          <w:p w14:paraId="450E2B99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既往药品不良反应/事件</w:t>
            </w:r>
            <w:r>
              <w:rPr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不详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</w:p>
          <w:p w14:paraId="62013787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家族药品不良反</w:t>
            </w:r>
            <w:r>
              <w:rPr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7600950</wp:posOffset>
                      </wp:positionH>
                      <wp:positionV relativeFrom="paragraph">
                        <wp:posOffset>99060</wp:posOffset>
                      </wp:positionV>
                      <wp:extent cx="635" cy="396240"/>
                      <wp:effectExtent l="6350" t="0" r="18415" b="10160"/>
                      <wp:wrapNone/>
                      <wp:docPr id="44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9624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598.5pt;margin-top:7.8pt;height:31.2pt;width:0.05pt;z-index:251659264;mso-width-relative:page;mso-height-relative:page;" filled="f" stroked="t" coordsize="21600,21600" o:allowincell="f" o:gfxdata="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5FcMf9oAAAALAQAADwAAAAAAAAABACAAAAAiAAAAZHJzL2Rvd25yZXYueG1sUEsBAhQAFAAAAAgA&#10;h07iQNzqIJ3qAQAA3QMAAA4AAAAAAAAAAQAgAAAAKQEAAGRycy9lMm9Eb2MueG1sUEsFBgAAAAAG&#10;AAYAWQEAAIU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000000"/>
                <w:sz w:val="18"/>
                <w:szCs w:val="18"/>
              </w:rPr>
              <w:t>应/事件</w:t>
            </w:r>
            <w:r>
              <w:rPr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/>
                <w:color w:val="000000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□ </w:t>
            </w:r>
            <w:r>
              <w:rPr>
                <w:rFonts w:hint="eastAsia"/>
                <w:color w:val="000000"/>
                <w:sz w:val="18"/>
                <w:szCs w:val="18"/>
              </w:rPr>
              <w:t>不详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</w:p>
        </w:tc>
      </w:tr>
      <w:tr w14:paraId="4D6F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015" w:type="dxa"/>
            <w:gridSpan w:val="20"/>
            <w:vAlign w:val="center"/>
          </w:tcPr>
          <w:p w14:paraId="5B48F33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相关重要信息： 吸烟史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  饮酒史□  妊娠期□  肝病史□  肾病史□  过敏史□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其他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      </w:t>
            </w:r>
          </w:p>
        </w:tc>
      </w:tr>
      <w:tr w14:paraId="6140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17" w:type="dxa"/>
            <w:vAlign w:val="center"/>
          </w:tcPr>
          <w:p w14:paraId="0F4422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药品</w:t>
            </w:r>
          </w:p>
        </w:tc>
        <w:tc>
          <w:tcPr>
            <w:tcW w:w="948" w:type="dxa"/>
            <w:vAlign w:val="center"/>
          </w:tcPr>
          <w:p w14:paraId="5ECF47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批准文号</w:t>
            </w:r>
          </w:p>
        </w:tc>
        <w:tc>
          <w:tcPr>
            <w:tcW w:w="945" w:type="dxa"/>
            <w:gridSpan w:val="3"/>
            <w:vAlign w:val="center"/>
          </w:tcPr>
          <w:p w14:paraId="78E7CE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商品名称</w:t>
            </w:r>
          </w:p>
        </w:tc>
        <w:tc>
          <w:tcPr>
            <w:tcW w:w="1365" w:type="dxa"/>
            <w:gridSpan w:val="3"/>
            <w:vAlign w:val="center"/>
          </w:tcPr>
          <w:p w14:paraId="359BC6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通用名称</w:t>
            </w:r>
          </w:p>
          <w:p w14:paraId="769257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（含剂型）</w:t>
            </w:r>
          </w:p>
        </w:tc>
        <w:tc>
          <w:tcPr>
            <w:tcW w:w="1995" w:type="dxa"/>
            <w:gridSpan w:val="4"/>
            <w:vAlign w:val="center"/>
          </w:tcPr>
          <w:p w14:paraId="5CE1E6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生产厂家</w:t>
            </w:r>
          </w:p>
        </w:tc>
        <w:tc>
          <w:tcPr>
            <w:tcW w:w="995" w:type="dxa"/>
            <w:gridSpan w:val="2"/>
            <w:vAlign w:val="center"/>
          </w:tcPr>
          <w:p w14:paraId="3265CB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生产批号</w:t>
            </w:r>
          </w:p>
        </w:tc>
        <w:tc>
          <w:tcPr>
            <w:tcW w:w="1995" w:type="dxa"/>
            <w:gridSpan w:val="3"/>
            <w:vAlign w:val="center"/>
          </w:tcPr>
          <w:p w14:paraId="795F50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用法用量</w:t>
            </w:r>
          </w:p>
          <w:p w14:paraId="4B9FFB9A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（次剂量、途径、日次数）</w:t>
            </w:r>
          </w:p>
        </w:tc>
        <w:tc>
          <w:tcPr>
            <w:tcW w:w="1329" w:type="dxa"/>
            <w:gridSpan w:val="2"/>
            <w:vAlign w:val="center"/>
          </w:tcPr>
          <w:p w14:paraId="0F0287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用药起止时间</w:t>
            </w:r>
          </w:p>
        </w:tc>
        <w:tc>
          <w:tcPr>
            <w:tcW w:w="1026" w:type="dxa"/>
            <w:vAlign w:val="center"/>
          </w:tcPr>
          <w:p w14:paraId="37E301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用药原因</w:t>
            </w:r>
          </w:p>
        </w:tc>
      </w:tr>
      <w:tr w14:paraId="0905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17" w:type="dxa"/>
            <w:vMerge w:val="restart"/>
            <w:vAlign w:val="center"/>
          </w:tcPr>
          <w:p w14:paraId="28B00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怀疑药品</w:t>
            </w:r>
          </w:p>
        </w:tc>
        <w:tc>
          <w:tcPr>
            <w:tcW w:w="948" w:type="dxa"/>
            <w:vAlign w:val="center"/>
          </w:tcPr>
          <w:p w14:paraId="0E2ADC26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0CCEDDF4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619D64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51571B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0DCC79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4F99C8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6CACE9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999025E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14:paraId="1CFF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17" w:type="dxa"/>
            <w:vMerge w:val="continue"/>
            <w:vAlign w:val="center"/>
          </w:tcPr>
          <w:p w14:paraId="74EAFF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337AA5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5685E1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2FAB600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58EDEF1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34078AA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1CBB2D0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02D243EB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39FA535">
            <w:pPr>
              <w:jc w:val="left"/>
              <w:rPr>
                <w:b/>
                <w:color w:val="000000"/>
                <w:sz w:val="18"/>
                <w:szCs w:val="18"/>
              </w:rPr>
            </w:pPr>
          </w:p>
        </w:tc>
      </w:tr>
      <w:tr w14:paraId="7C3C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17" w:type="dxa"/>
            <w:vMerge w:val="continue"/>
            <w:vAlign w:val="center"/>
          </w:tcPr>
          <w:p w14:paraId="3E7E55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2ADBB1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067230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3EFA24D8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718DCB3F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1E11920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6F84F1A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221D013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735588E">
            <w:pPr>
              <w:widowControl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</w:tr>
      <w:tr w14:paraId="022D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17" w:type="dxa"/>
            <w:vMerge w:val="restart"/>
            <w:vAlign w:val="center"/>
          </w:tcPr>
          <w:p w14:paraId="44643C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并用药</w:t>
            </w:r>
          </w:p>
          <w:p w14:paraId="5BF2EC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品</w:t>
            </w:r>
          </w:p>
        </w:tc>
        <w:tc>
          <w:tcPr>
            <w:tcW w:w="948" w:type="dxa"/>
            <w:vAlign w:val="center"/>
          </w:tcPr>
          <w:p w14:paraId="6A2E83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6CB1E5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054D54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356145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038265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6B2EF9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4C853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E72B6F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14:paraId="3F60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17" w:type="dxa"/>
            <w:vMerge w:val="continue"/>
            <w:vAlign w:val="center"/>
          </w:tcPr>
          <w:p w14:paraId="16EC14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7030C4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3FF52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00406C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0C89F3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28D705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5EFBB5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3AE899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B6D918E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14:paraId="7567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417" w:type="dxa"/>
            <w:vMerge w:val="continue"/>
            <w:vAlign w:val="center"/>
          </w:tcPr>
          <w:p w14:paraId="07CC22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63A3F4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790CFB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017EC8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5A66E0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6033D9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1033CE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130C98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242739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14:paraId="56A6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248" w:type="dxa"/>
            <w:gridSpan w:val="11"/>
            <w:vAlign w:val="center"/>
          </w:tcPr>
          <w:p w14:paraId="06E3A2B0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不良反应/事件名称</w:t>
            </w:r>
            <w:r>
              <w:rPr>
                <w:color w:val="000000"/>
                <w:sz w:val="18"/>
                <w:szCs w:val="18"/>
              </w:rPr>
              <w:t>：</w:t>
            </w:r>
          </w:p>
        </w:tc>
        <w:tc>
          <w:tcPr>
            <w:tcW w:w="5767" w:type="dxa"/>
            <w:gridSpan w:val="9"/>
            <w:vAlign w:val="center"/>
          </w:tcPr>
          <w:p w14:paraId="6713EEA7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不良反应/事件发生时间</w:t>
            </w:r>
            <w:r>
              <w:rPr>
                <w:color w:val="000000"/>
                <w:sz w:val="18"/>
                <w:szCs w:val="18"/>
              </w:rPr>
              <w:t>：　　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>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月</w:t>
            </w:r>
            <w:r>
              <w:rPr>
                <w:color w:val="000000"/>
                <w:sz w:val="18"/>
                <w:szCs w:val="18"/>
              </w:rPr>
              <w:t>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日</w:t>
            </w:r>
          </w:p>
        </w:tc>
      </w:tr>
      <w:tr w14:paraId="11C3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015" w:type="dxa"/>
            <w:gridSpan w:val="20"/>
          </w:tcPr>
          <w:p w14:paraId="0AFC26F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不良反应/事件过程描述（包括症状、体征、临床检验等）及处理情况（可附页）：</w:t>
            </w:r>
          </w:p>
          <w:p w14:paraId="1B90E5EB">
            <w:pPr>
              <w:rPr>
                <w:color w:val="000000"/>
                <w:sz w:val="18"/>
                <w:szCs w:val="18"/>
              </w:rPr>
            </w:pPr>
          </w:p>
        </w:tc>
      </w:tr>
      <w:tr w14:paraId="30EE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15" w:type="dxa"/>
            <w:gridSpan w:val="20"/>
            <w:vAlign w:val="center"/>
          </w:tcPr>
          <w:p w14:paraId="1AF3300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不良反应/事件的结果</w:t>
            </w:r>
            <w:r>
              <w:rPr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痊愈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好转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未好转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不详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有后遗症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表现</w:t>
            </w:r>
            <w:r>
              <w:rPr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                       </w:t>
            </w:r>
          </w:p>
          <w:p w14:paraId="4674620F">
            <w:pPr>
              <w:spacing w:line="240" w:lineRule="exact"/>
              <w:ind w:firstLine="1800" w:firstLineChars="10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死亡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直接死因</w:t>
            </w:r>
            <w:r>
              <w:rPr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死亡时间</w:t>
            </w:r>
            <w:r>
              <w:rPr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年    月    日      </w:t>
            </w:r>
          </w:p>
        </w:tc>
      </w:tr>
      <w:tr w14:paraId="5644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015" w:type="dxa"/>
            <w:gridSpan w:val="20"/>
            <w:vAlign w:val="center"/>
          </w:tcPr>
          <w:p w14:paraId="0C615F73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停药或减量后，反应/事件是否消失或减轻？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是□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>否□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>不明□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>未停药或未减量□</w:t>
            </w:r>
          </w:p>
          <w:p w14:paraId="18C82D73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再次使用可疑药品后是否再次出现同样反应/事件？</w:t>
            </w:r>
            <w:r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</w:rPr>
              <w:t>是□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>否□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>不明□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>未再使用□</w:t>
            </w:r>
          </w:p>
        </w:tc>
      </w:tr>
      <w:tr w14:paraId="1919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015" w:type="dxa"/>
            <w:gridSpan w:val="20"/>
            <w:vAlign w:val="center"/>
          </w:tcPr>
          <w:p w14:paraId="00AE61A5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对原患疾病的影响： 不明显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病程延长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病情加重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导致后遗症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导致死亡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</w:p>
        </w:tc>
      </w:tr>
      <w:tr w14:paraId="57AD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64" w:type="dxa"/>
            <w:gridSpan w:val="3"/>
            <w:vAlign w:val="center"/>
          </w:tcPr>
          <w:p w14:paraId="6BFB7C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关联性评价</w:t>
            </w:r>
          </w:p>
        </w:tc>
        <w:tc>
          <w:tcPr>
            <w:tcW w:w="9451" w:type="dxa"/>
            <w:gridSpan w:val="17"/>
            <w:vAlign w:val="center"/>
          </w:tcPr>
          <w:p w14:paraId="33375D0D">
            <w:pPr>
              <w:spacing w:line="28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报告人评价：　　肯定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　</w:t>
            </w:r>
            <w:r>
              <w:rPr>
                <w:rFonts w:hint="eastAsia"/>
                <w:color w:val="000000"/>
                <w:sz w:val="18"/>
                <w:szCs w:val="18"/>
              </w:rPr>
              <w:t>很可能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　</w:t>
            </w:r>
            <w:r>
              <w:rPr>
                <w:rFonts w:hint="eastAsia"/>
                <w:color w:val="000000"/>
                <w:sz w:val="18"/>
                <w:szCs w:val="18"/>
              </w:rPr>
              <w:t>可能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　</w:t>
            </w:r>
            <w:r>
              <w:rPr>
                <w:rFonts w:hint="eastAsia"/>
                <w:color w:val="000000"/>
                <w:sz w:val="18"/>
                <w:szCs w:val="18"/>
              </w:rPr>
              <w:t>可能无关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　</w:t>
            </w:r>
            <w:r>
              <w:rPr>
                <w:rFonts w:hint="eastAsia"/>
                <w:color w:val="000000"/>
                <w:sz w:val="18"/>
                <w:szCs w:val="18"/>
              </w:rPr>
              <w:t>待评价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　 </w:t>
            </w:r>
            <w:r>
              <w:rPr>
                <w:rFonts w:hint="eastAsia"/>
                <w:color w:val="000000"/>
                <w:sz w:val="18"/>
                <w:szCs w:val="18"/>
              </w:rPr>
              <w:t>无法评价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　 </w:t>
            </w:r>
            <w:r>
              <w:rPr>
                <w:rFonts w:hint="eastAsia"/>
                <w:color w:val="000000"/>
                <w:sz w:val="18"/>
                <w:szCs w:val="18"/>
              </w:rPr>
              <w:t>签名</w:t>
            </w:r>
            <w:r>
              <w:rPr>
                <w:color w:val="000000"/>
                <w:sz w:val="18"/>
                <w:szCs w:val="18"/>
              </w:rPr>
              <w:t>：　</w:t>
            </w:r>
          </w:p>
          <w:p w14:paraId="223D602B">
            <w:pPr>
              <w:spacing w:line="28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报告单位评价：　肯定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　</w:t>
            </w:r>
            <w:r>
              <w:rPr>
                <w:rFonts w:hint="eastAsia"/>
                <w:color w:val="000000"/>
                <w:sz w:val="18"/>
                <w:szCs w:val="18"/>
              </w:rPr>
              <w:t>很可能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　</w:t>
            </w:r>
            <w:r>
              <w:rPr>
                <w:rFonts w:hint="eastAsia"/>
                <w:color w:val="000000"/>
                <w:sz w:val="18"/>
                <w:szCs w:val="18"/>
              </w:rPr>
              <w:t>可能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　</w:t>
            </w:r>
            <w:r>
              <w:rPr>
                <w:rFonts w:hint="eastAsia"/>
                <w:color w:val="000000"/>
                <w:sz w:val="18"/>
                <w:szCs w:val="18"/>
              </w:rPr>
              <w:t>可能无关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　</w:t>
            </w:r>
            <w:r>
              <w:rPr>
                <w:rFonts w:hint="eastAsia"/>
                <w:color w:val="000000"/>
                <w:sz w:val="18"/>
                <w:szCs w:val="18"/>
              </w:rPr>
              <w:t>待评价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　 </w:t>
            </w:r>
            <w:r>
              <w:rPr>
                <w:rFonts w:hint="eastAsia"/>
                <w:color w:val="000000"/>
                <w:sz w:val="18"/>
                <w:szCs w:val="18"/>
              </w:rPr>
              <w:t>无法评价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　 </w:t>
            </w:r>
            <w:r>
              <w:rPr>
                <w:rFonts w:hint="eastAsia"/>
                <w:color w:val="000000"/>
                <w:sz w:val="18"/>
                <w:szCs w:val="18"/>
              </w:rPr>
              <w:t>签名</w:t>
            </w:r>
            <w:r>
              <w:rPr>
                <w:color w:val="000000"/>
                <w:sz w:val="18"/>
                <w:szCs w:val="18"/>
              </w:rPr>
              <w:t>：</w:t>
            </w:r>
          </w:p>
        </w:tc>
      </w:tr>
      <w:tr w14:paraId="7B1E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4" w:type="dxa"/>
            <w:gridSpan w:val="3"/>
            <w:vMerge w:val="restart"/>
            <w:vAlign w:val="center"/>
          </w:tcPr>
          <w:p w14:paraId="75EF3E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报告人信息</w:t>
            </w:r>
          </w:p>
        </w:tc>
        <w:tc>
          <w:tcPr>
            <w:tcW w:w="3474" w:type="dxa"/>
            <w:gridSpan w:val="7"/>
            <w:vAlign w:val="center"/>
          </w:tcPr>
          <w:p w14:paraId="1089D72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联系电话：</w:t>
            </w:r>
          </w:p>
        </w:tc>
        <w:tc>
          <w:tcPr>
            <w:tcW w:w="5977" w:type="dxa"/>
            <w:gridSpan w:val="10"/>
            <w:vAlign w:val="center"/>
          </w:tcPr>
          <w:p w14:paraId="2B6E5AF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职业：医生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药师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　 护士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□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其他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</w:t>
            </w:r>
          </w:p>
        </w:tc>
      </w:tr>
      <w:tr w14:paraId="2818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64" w:type="dxa"/>
            <w:gridSpan w:val="3"/>
            <w:vMerge w:val="continue"/>
            <w:vAlign w:val="center"/>
          </w:tcPr>
          <w:p w14:paraId="383BD4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7" w:type="dxa"/>
            <w:gridSpan w:val="10"/>
            <w:vAlign w:val="center"/>
          </w:tcPr>
          <w:p w14:paraId="30DB7BB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电子邮箱：</w:t>
            </w:r>
          </w:p>
        </w:tc>
        <w:tc>
          <w:tcPr>
            <w:tcW w:w="4564" w:type="dxa"/>
            <w:gridSpan w:val="7"/>
            <w:vAlign w:val="center"/>
          </w:tcPr>
          <w:p w14:paraId="36BAD40E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签名：</w:t>
            </w:r>
          </w:p>
        </w:tc>
      </w:tr>
      <w:tr w14:paraId="4096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64" w:type="dxa"/>
            <w:gridSpan w:val="3"/>
            <w:vAlign w:val="center"/>
          </w:tcPr>
          <w:p w14:paraId="177B28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报告单位信息</w:t>
            </w:r>
          </w:p>
        </w:tc>
        <w:tc>
          <w:tcPr>
            <w:tcW w:w="2945" w:type="dxa"/>
            <w:gridSpan w:val="6"/>
            <w:vAlign w:val="center"/>
          </w:tcPr>
          <w:p w14:paraId="4A3D1ED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单位名称：</w:t>
            </w:r>
            <w:r>
              <w:rPr>
                <w:color w:val="000000"/>
                <w:sz w:val="18"/>
                <w:szCs w:val="18"/>
              </w:rPr>
              <w:t>　　　　　　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>　　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42" w:type="dxa"/>
            <w:gridSpan w:val="4"/>
            <w:vAlign w:val="center"/>
          </w:tcPr>
          <w:p w14:paraId="197A10A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联系人：</w:t>
            </w:r>
          </w:p>
        </w:tc>
        <w:tc>
          <w:tcPr>
            <w:tcW w:w="1892" w:type="dxa"/>
            <w:gridSpan w:val="3"/>
            <w:vAlign w:val="center"/>
          </w:tcPr>
          <w:p w14:paraId="2F51D73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电话：</w:t>
            </w:r>
            <w:r>
              <w:rPr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2672" w:type="dxa"/>
            <w:gridSpan w:val="4"/>
            <w:vAlign w:val="center"/>
          </w:tcPr>
          <w:p w14:paraId="4663B41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报告日期：  </w:t>
            </w:r>
            <w:r>
              <w:rPr>
                <w:color w:val="000000"/>
                <w:sz w:val="18"/>
                <w:szCs w:val="18"/>
              </w:rPr>
              <w:t>　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>　　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　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日   </w:t>
            </w:r>
          </w:p>
        </w:tc>
      </w:tr>
      <w:tr w14:paraId="10BB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64" w:type="dxa"/>
            <w:gridSpan w:val="3"/>
            <w:vAlign w:val="center"/>
          </w:tcPr>
          <w:p w14:paraId="16B5AF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生产企业请</w:t>
            </w:r>
          </w:p>
          <w:p w14:paraId="7BD48E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填写信息来源</w:t>
            </w:r>
          </w:p>
        </w:tc>
        <w:tc>
          <w:tcPr>
            <w:tcW w:w="9451" w:type="dxa"/>
            <w:gridSpan w:val="17"/>
            <w:vAlign w:val="center"/>
          </w:tcPr>
          <w:p w14:paraId="73300C7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医疗机构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□    经营企业□    </w:t>
            </w:r>
            <w:r>
              <w:rPr>
                <w:rFonts w:hint="eastAsia"/>
                <w:color w:val="000000"/>
                <w:sz w:val="18"/>
                <w:szCs w:val="18"/>
              </w:rPr>
              <w:t>个人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□    </w:t>
            </w:r>
            <w:r>
              <w:rPr>
                <w:rFonts w:hint="eastAsia"/>
                <w:color w:val="000000"/>
                <w:sz w:val="18"/>
                <w:szCs w:val="18"/>
              </w:rPr>
              <w:t>文献报道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□    </w:t>
            </w:r>
            <w:r>
              <w:rPr>
                <w:rFonts w:hint="eastAsia"/>
                <w:color w:val="000000"/>
                <w:sz w:val="18"/>
                <w:szCs w:val="18"/>
              </w:rPr>
              <w:t>上市后研究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□    </w:t>
            </w:r>
            <w:r>
              <w:rPr>
                <w:rFonts w:hint="eastAsia"/>
                <w:color w:val="000000"/>
                <w:sz w:val="18"/>
                <w:szCs w:val="18"/>
              </w:rPr>
              <w:t>其他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         </w:t>
            </w:r>
          </w:p>
        </w:tc>
      </w:tr>
      <w:tr w14:paraId="7F8E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64" w:type="dxa"/>
            <w:gridSpan w:val="3"/>
            <w:vAlign w:val="center"/>
          </w:tcPr>
          <w:p w14:paraId="288764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       注</w:t>
            </w:r>
          </w:p>
        </w:tc>
        <w:tc>
          <w:tcPr>
            <w:tcW w:w="9451" w:type="dxa"/>
            <w:gridSpan w:val="17"/>
            <w:vAlign w:val="center"/>
          </w:tcPr>
          <w:p w14:paraId="46912948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3C7B5C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8AAC62D-1AC5-4F9C-A08C-5B78403B8562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D2B08A2-164A-4C12-BE27-334E2DCFF511}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NDVmNzk5ZmI3YzNiNTViMzQ1M2U4MzI1ZGY0M2IifQ=="/>
    <w:docVar w:name="KSO_WPS_MARK_KEY" w:val="232a35dc-98d8-43b1-bb1e-5dc99985f264"/>
  </w:docVars>
  <w:rsids>
    <w:rsidRoot w:val="BBEAE22F"/>
    <w:rsid w:val="18F97F8A"/>
    <w:rsid w:val="67FA4AAC"/>
    <w:rsid w:val="72625832"/>
    <w:rsid w:val="79EAFCA8"/>
    <w:rsid w:val="BBEAE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656</Words>
  <Characters>660</Characters>
  <Lines>0</Lines>
  <Paragraphs>0</Paragraphs>
  <TotalTime>0</TotalTime>
  <ScaleCrop>false</ScaleCrop>
  <LinksUpToDate>false</LinksUpToDate>
  <CharactersWithSpaces>1210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2025-06-12T12:21:00Z</dcterms:created>
  <dc:creator>WPS_1691035677</dc:creator>
  <cp:lastModifiedBy>xgh</cp:lastModifiedBy>
  <dcterms:modified xsi:type="dcterms:W3CDTF">2026-06-11T09:25:34Z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3CDD2DE0238E8B3FD5744968E9A3BB09_41</vt:lpwstr>
  </property>
  <property fmtid="{D5CDD505-2E9C-101B-9397-08002B2CF9AE}" pid="4" name="KSOTemplateDocerSaveRecord">
    <vt:lpwstr>eyJoZGlkIjoiYzIzNjhjZjkxMjg2OGJjOTQ0NThhNzBhOGI4YTVmYWYiLCJ1c2VySWQiOiIxMDM5MjEyNzUwIn0=</vt:lpwstr>
  </property>
</Properties>
</file>